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C" w:rsidRPr="0079173C" w:rsidRDefault="00B22293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</w:t>
      </w:r>
      <w:r w:rsidR="00693013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="0079173C"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 </w:t>
      </w:r>
      <w:proofErr w:type="gramStart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Р О Е К Т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892A3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</w:t>
      </w:r>
      <w:bookmarkStart w:id="0" w:name="_GoBack"/>
      <w:bookmarkEnd w:id="0"/>
      <w:r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РЕКОМЕНДАЦИИ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публичных слушаний по проекту  решения Собрания депутатов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«Об исполнении бюджета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за 20</w:t>
      </w:r>
      <w:r w:rsidR="0051439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2</w:t>
      </w:r>
      <w:r w:rsidR="00052C99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4</w:t>
      </w: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год»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E168A6" w:rsidP="0079173C">
      <w:pPr>
        <w:widowControl w:val="0"/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052C99">
        <w:rPr>
          <w:rFonts w:ascii="Times New Roman" w:eastAsia="Times New Roman" w:hAnsi="Times New Roman" w:cs="Times New Roman"/>
          <w:spacing w:val="20"/>
          <w:sz w:val="26"/>
          <w:szCs w:val="26"/>
        </w:rPr>
        <w:t>17</w:t>
      </w:r>
      <w:r w:rsidR="003A5D2A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.0</w:t>
      </w:r>
      <w:r w:rsidR="00AA6BB3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4</w:t>
      </w:r>
      <w:r w:rsidR="003A5D2A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.</w:t>
      </w:r>
      <w:r w:rsidR="0079173C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202</w:t>
      </w:r>
      <w:r w:rsidR="00504935" w:rsidRPr="00504935">
        <w:rPr>
          <w:rFonts w:ascii="Times New Roman" w:eastAsia="Times New Roman" w:hAnsi="Times New Roman" w:cs="Times New Roman"/>
          <w:spacing w:val="20"/>
          <w:sz w:val="26"/>
          <w:szCs w:val="26"/>
        </w:rPr>
        <w:t>5</w:t>
      </w:r>
      <w:r w:rsidR="0079173C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г</w:t>
      </w:r>
      <w:r w:rsidR="003A5D2A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.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</w:t>
      </w:r>
      <w:r w:rsidR="00E227A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Миасс</w:t>
      </w:r>
      <w:r w:rsidR="0079173C" w:rsidRPr="0079173C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    </w:t>
      </w:r>
    </w:p>
    <w:p w:rsidR="00DC4429" w:rsidRDefault="00DC4429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603CAB" w:rsidRDefault="00603CAB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76081" w:rsidRPr="0058078F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</w:pPr>
      <w:proofErr w:type="gramStart"/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lastRenderedPageBreak/>
        <w:t xml:space="preserve">Участники публичных слушаний, рассмотрев проект </w:t>
      </w:r>
      <w:r w:rsidRPr="0058078F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</w:rPr>
        <w:t xml:space="preserve">решения Собрания депутатов Миасского городского округа </w:t>
      </w:r>
      <w:r w:rsidRPr="0058078F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«Об исполнении бюдже</w:t>
      </w:r>
      <w:r w:rsidR="004842BB" w:rsidRPr="0058078F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 xml:space="preserve">та Миасского городского округа </w:t>
      </w:r>
      <w:r w:rsidRPr="0058078F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за 20</w:t>
      </w:r>
      <w:r w:rsidR="00176081" w:rsidRPr="0058078F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2</w:t>
      </w:r>
      <w:r w:rsidR="0058078F" w:rsidRPr="0058078F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4</w:t>
      </w:r>
      <w:r w:rsidRPr="0058078F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 xml:space="preserve"> год»</w:t>
      </w: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отмечают, </w:t>
      </w:r>
      <w:r w:rsidR="00DC4429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что </w:t>
      </w:r>
      <w:r w:rsidR="0021441E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в </w:t>
      </w: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20</w:t>
      </w:r>
      <w:r w:rsidR="00176081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2</w:t>
      </w:r>
      <w:r w:rsidR="0058078F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4</w:t>
      </w: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году бюджетная и налоговая политика Миасского городского округа была направлена на </w:t>
      </w:r>
      <w:r w:rsidR="00176081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повышение эффективности и качества управления муниципальными финансами, повышение уровня собственных доходов</w:t>
      </w:r>
      <w:r w:rsidR="007847B3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, снижение уровня недоимки </w:t>
      </w:r>
      <w:r w:rsidR="00176081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и результативности бюджетных расходов.</w:t>
      </w:r>
      <w:proofErr w:type="gramEnd"/>
    </w:p>
    <w:p w:rsidR="00DE3937" w:rsidRPr="00441D64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</w:pPr>
      <w:r w:rsidRPr="00116E9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Общий объем поступлений доходов бюджета </w:t>
      </w:r>
      <w:r w:rsidR="001531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Миасского городского округа </w:t>
      </w:r>
      <w:r w:rsidRPr="00116E9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за 20</w:t>
      </w:r>
      <w:r w:rsidR="0082433E" w:rsidRPr="00116E9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116E9C" w:rsidRPr="00116E9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4</w:t>
      </w:r>
      <w:r w:rsidRPr="00116E9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год </w:t>
      </w:r>
      <w:r w:rsidR="00DE3937" w:rsidRPr="00116E9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составил</w:t>
      </w:r>
      <w:r w:rsidRPr="00116E9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FB4874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9</w:t>
      </w:r>
      <w:r w:rsidR="00F27B4B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млрд.</w:t>
      </w:r>
      <w:r w:rsidR="00FB4874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26</w:t>
      </w:r>
      <w:r w:rsidR="009F4134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7</w:t>
      </w:r>
      <w:r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,</w:t>
      </w:r>
      <w:r w:rsidR="009F4134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0</w:t>
      </w:r>
      <w:r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млн. рублей, при уточненных бюджетных назначениях </w:t>
      </w:r>
      <w:r w:rsidR="009F4134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9</w:t>
      </w:r>
      <w:r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млрд. </w:t>
      </w:r>
      <w:r w:rsidR="009F4134" w:rsidRPr="0050493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260</w:t>
      </w:r>
      <w:r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,</w:t>
      </w:r>
      <w:r w:rsidR="009F4134" w:rsidRPr="0050493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9</w:t>
      </w:r>
      <w:r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млн. рублей, или </w:t>
      </w:r>
      <w:r w:rsidR="00F27B4B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на </w:t>
      </w:r>
      <w:r w:rsidR="00156772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100,1</w:t>
      </w:r>
      <w:r w:rsidR="00F27B4B"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441D6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%.</w:t>
      </w:r>
    </w:p>
    <w:p w:rsidR="0079173C" w:rsidRPr="001D6728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Доходная часть бюджета </w:t>
      </w:r>
      <w:r w:rsidR="00E86B2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круга сформирована на </w:t>
      </w:r>
      <w:r w:rsidR="0023485C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="00AC3B5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7F4E3D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AC3B5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 за счет безвозмездных поступлений, а также  поступлений налоговых и неналоговых доходов на </w:t>
      </w:r>
      <w:r w:rsidR="0023485C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AC3B5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="007F4E3D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AC3B5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</w:t>
      </w:r>
    </w:p>
    <w:p w:rsidR="00DB7687" w:rsidRPr="001D6728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Безвозмездные посту</w:t>
      </w:r>
      <w:r w:rsidR="004842BB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пления в бюджет Округа получены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в объеме </w:t>
      </w:r>
      <w:r w:rsidR="007F4E3D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</w:t>
      </w:r>
      <w:r w:rsidR="00C74D52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88</w:t>
      </w:r>
      <w:r w:rsidR="00D40F5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40F5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в том числе:</w:t>
      </w:r>
    </w:p>
    <w:p w:rsidR="00DB7687" w:rsidRPr="001D6728" w:rsidRDefault="00DB7687" w:rsidP="00A521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proofErr w:type="gramStart"/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- из областного бюджета (с учетом возвратов) в сумме</w:t>
      </w:r>
      <w:r w:rsidR="00DE393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9F4042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             </w:t>
      </w:r>
      <w:r w:rsidR="003B08E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813E4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="003B08E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</w:t>
      </w:r>
      <w:r w:rsidR="00DE393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88</w:t>
      </w:r>
      <w:r w:rsidR="00D40F5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="00633715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40F5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="003B08E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 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(дотации – </w:t>
      </w:r>
      <w:r w:rsidR="00C80F1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 млрд.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280</w:t>
      </w:r>
      <w:r w:rsidR="004842BB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="00081AF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. рублей, субсидии </w:t>
      </w:r>
      <w:r w:rsidR="00C80F1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813E4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369</w:t>
      </w:r>
      <w:r w:rsidR="004842BB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="004842BB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813E4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млн. рублей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субвенции – 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081AF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120</w:t>
      </w:r>
      <w:r w:rsidR="00C80F1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081AF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иные межбюджетные трансферты – 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115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6E0F1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 рублей);</w:t>
      </w:r>
      <w:proofErr w:type="gramEnd"/>
    </w:p>
    <w:p w:rsidR="00F3347E" w:rsidRPr="001D6728" w:rsidRDefault="00F3347E" w:rsidP="00F3347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- от государственных (муниципальных) организаций в сумме 0,3 млн. рублей;</w:t>
      </w:r>
      <w:r w:rsidR="00C269EE" w:rsidRPr="001D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687" w:rsidRPr="001D6728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от негосударственных организаций в сумме 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6E0F1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="006E0F1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 рублей;</w:t>
      </w:r>
    </w:p>
    <w:p w:rsidR="00DB7687" w:rsidRPr="001D6728" w:rsidRDefault="004842BB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от </w:t>
      </w:r>
      <w:r w:rsidR="00DB768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прочи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="00DB768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CC387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безвозмездных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DB768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поступлени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й</w:t>
      </w:r>
      <w:r w:rsidR="00DB768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в сумме </w:t>
      </w:r>
      <w:r w:rsidR="006E0F1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0,</w:t>
      </w:r>
      <w:r w:rsidR="00F3347E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6E0F14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</w:t>
      </w:r>
      <w:r w:rsidR="00DB7687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рублей.</w:t>
      </w:r>
    </w:p>
    <w:p w:rsidR="0079173C" w:rsidRPr="00C56414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554D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Налоговых и неналоговых доходов за 20</w:t>
      </w:r>
      <w:r w:rsidR="00693013" w:rsidRPr="001554D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1554DC" w:rsidRPr="001554D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4</w:t>
      </w:r>
      <w:r w:rsidRPr="001554D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год 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поступило в бюджет Округа </w:t>
      </w:r>
      <w:r w:rsidR="001554DC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</w:t>
      </w:r>
      <w:r w:rsidR="001554DC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380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1554DC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при</w:t>
      </w:r>
      <w:r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уточненных бюджетных назначениях </w:t>
      </w:r>
      <w:r w:rsidR="001554DC"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="001554DC"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281</w:t>
      </w:r>
      <w:r w:rsidR="00396B13"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E35942"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="004842BB"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554D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млн. рублей</w:t>
      </w:r>
      <w:r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или 10</w:t>
      </w:r>
      <w:r w:rsidR="00C5641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C5641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 По сравнению с 20</w:t>
      </w:r>
      <w:r w:rsidR="0012649A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C5641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годом поступления увеличились на </w:t>
      </w:r>
      <w:r w:rsidR="0046767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C5641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E641B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C5641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C5641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622</w:t>
      </w:r>
      <w:r w:rsidR="0046767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C56414"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C5641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</w:p>
    <w:p w:rsidR="00BB0248" w:rsidRPr="0087263A" w:rsidRDefault="0079173C" w:rsidP="00603CAB">
      <w:pPr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87263A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Налоговые доходы 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поступили в объеме </w:t>
      </w:r>
      <w:r w:rsidR="0087263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="0087263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049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87263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или </w:t>
      </w:r>
      <w:r w:rsidR="0087263A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10</w:t>
      </w:r>
      <w:r w:rsidR="007B74F9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7B74F9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</w:t>
      </w:r>
      <w:r w:rsidR="00197A88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 </w:t>
      </w:r>
      <w:r w:rsidR="009B19AF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от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уто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чненны</w:t>
      </w:r>
      <w:r w:rsidR="009B19AF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бюджетны</w:t>
      </w:r>
      <w:r w:rsidR="009B19AF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назначени</w:t>
      </w:r>
      <w:r w:rsidR="009B19AF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й в сумме</w:t>
      </w:r>
    </w:p>
    <w:p w:rsidR="003901F5" w:rsidRPr="00581513" w:rsidRDefault="0087263A" w:rsidP="000F750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79173C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021</w:t>
      </w:r>
      <w:r w:rsidR="0079173C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79173C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="00C600E0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7F3E65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</w:t>
      </w:r>
      <w:r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еревыполнено</w:t>
      </w:r>
      <w:r w:rsidR="007F3E65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доходов на сумму </w:t>
      </w:r>
      <w:r w:rsidR="00C600E0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4C2E9D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28</w:t>
      </w:r>
      <w:r w:rsidR="00C600E0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4C2E9D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C600E0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в основном,</w:t>
      </w:r>
      <w:r w:rsidR="00581513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за счет поступлений по налогу на доходы физических лиц.  </w:t>
      </w:r>
      <w:r w:rsidR="00C600E0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</w:p>
    <w:p w:rsidR="0079173C" w:rsidRPr="00581513" w:rsidRDefault="00E27068" w:rsidP="009063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 налоговых доходов по отношению к уровню 202</w:t>
      </w:r>
      <w:r w:rsidR="00581513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составил 2</w:t>
      </w:r>
      <w:r w:rsidR="00581513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581513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581513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578</w:t>
      </w:r>
      <w:r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581513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3901F5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79173C" w:rsidRPr="005815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среди них:</w:t>
      </w:r>
    </w:p>
    <w:p w:rsidR="0079173C" w:rsidRPr="0022644A" w:rsidRDefault="0079173C" w:rsidP="009063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на </w:t>
      </w:r>
      <w:r w:rsidR="006F49BF"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381,7</w:t>
      </w:r>
      <w:r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 больше уровня 20</w:t>
      </w:r>
      <w:r w:rsidR="005A7680"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6F49BF"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4842BB"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</w:t>
      </w:r>
      <w:r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поступил налог на доходы физических лиц,</w:t>
      </w:r>
      <w:r w:rsidR="004D11A9" w:rsidRPr="0022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1A9"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в основном, в результате  роста </w:t>
      </w:r>
      <w:r w:rsidR="004D11A9"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lastRenderedPageBreak/>
        <w:t>численности работающих и фонда</w:t>
      </w:r>
      <w:r w:rsidR="004D11A9" w:rsidRPr="0022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4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начисленной заработной платы в крупных и средних предприятиях Округа;</w:t>
      </w:r>
    </w:p>
    <w:p w:rsidR="005D5C56" w:rsidRPr="0058078F" w:rsidRDefault="0079173C" w:rsidP="005D5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</w:t>
      </w:r>
      <w:r w:rsidR="0082116F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 </w:t>
      </w:r>
      <w:r w:rsidR="0022644A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136</w:t>
      </w:r>
      <w:r w:rsidR="00754151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22644A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3673C2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больше уровня 20</w:t>
      </w:r>
      <w:r w:rsidR="00F732CA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22644A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4842BB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</w:t>
      </w: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поступил </w:t>
      </w:r>
      <w:r w:rsidR="004842BB" w:rsidRPr="00FA1E0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налог, </w:t>
      </w:r>
      <w:r w:rsidR="000C41C8" w:rsidRPr="00FA1E0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взима</w:t>
      </w:r>
      <w:r w:rsidRPr="00FA1E0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емый в связи с применением упрощённой системы налогообложения</w:t>
      </w:r>
      <w:r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5D5C56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в связи с увеличением объема поступлений по ряду плательщиков,</w:t>
      </w:r>
      <w:r w:rsidR="004842BB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а также увеличением количества </w:t>
      </w:r>
      <w:r w:rsidR="005D5C56" w:rsidRPr="0058078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налогоплательщиков. </w:t>
      </w:r>
    </w:p>
    <w:p w:rsidR="00BD1A8E" w:rsidRPr="0087263A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C5110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Неналоговые доходы 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поступили в объеме </w:t>
      </w:r>
      <w:r w:rsidR="00D60C4B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331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60C4B"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Pr="001D672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или на </w:t>
      </w:r>
      <w:r w:rsidR="00124913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60666A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="00124913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4842B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к ут</w:t>
      </w:r>
      <w:r w:rsidR="004842B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очненным бюджетным назначениям </w:t>
      </w:r>
      <w:r w:rsidR="0060666A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60</w:t>
      </w:r>
      <w:r w:rsidR="00D63E35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 </w:t>
      </w:r>
      <w:r w:rsidR="00D63E35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Перевыполнено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доходов на сумму на сумму 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70</w:t>
      </w:r>
      <w:r w:rsidR="002145D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9D7B78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  <w:r w:rsidR="002145D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851011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</w:t>
      </w:r>
      <w:r w:rsidR="00793F6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к уровню </w:t>
      </w:r>
      <w:r w:rsidR="00B76564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="009D7B78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B76564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</w:t>
      </w:r>
      <w:r w:rsidR="009D7B78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а</w:t>
      </w:r>
      <w:r w:rsidR="00B76564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9D7B78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состав</w:t>
      </w:r>
      <w:r w:rsidR="00851011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ил</w:t>
      </w:r>
      <w:r w:rsidR="009D7B78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60666A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5,</w:t>
      </w:r>
      <w:r w:rsidR="00D60C4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="00793F6B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</w:t>
      </w:r>
      <w:r w:rsidR="009D7B78" w:rsidRPr="0087263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</w:p>
    <w:p w:rsidR="0079173C" w:rsidRPr="00524548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Объем недоимки по налоговым доходам и задолженност</w:t>
      </w:r>
      <w:r w:rsidR="00812E68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и по неналоговым доходам </w:t>
      </w:r>
      <w:r w:rsidR="00FB128B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(реальной к взысканию) </w:t>
      </w:r>
      <w:r w:rsidR="00812E68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 </w:t>
      </w:r>
      <w:r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01.01.20</w:t>
      </w:r>
      <w:r w:rsidR="003C04FA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E435F7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</w:t>
      </w:r>
      <w:r w:rsidR="00851011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храняется высоким и составляет </w:t>
      </w:r>
      <w:r w:rsidR="00D25470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7071E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04</w:t>
      </w:r>
      <w:r w:rsidR="00AA16D5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7189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="005F1357" w:rsidRPr="00E435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1357" w:rsidRPr="00E435F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Рост задолженности </w:t>
      </w:r>
      <w:r w:rsidR="005F1357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к уровню 202</w:t>
      </w:r>
      <w:r w:rsidR="00E435F7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="005F1357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составил </w:t>
      </w:r>
      <w:r w:rsidR="00D25470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="005F1357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4754C0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="005F1357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851011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7,</w:t>
      </w:r>
      <w:r w:rsidR="00B80F3D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</w:t>
      </w:r>
      <w:r w:rsidR="00D25470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</w:t>
      </w:r>
      <w:r w:rsidR="005F1357" w:rsidRPr="00BE45D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. </w:t>
      </w:r>
      <w:r w:rsidR="005F1357" w:rsidRPr="0052454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рублей</w:t>
      </w:r>
      <w:r w:rsidR="00B4700F" w:rsidRPr="0052454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</w:p>
    <w:p w:rsidR="0079173C" w:rsidRPr="00524548" w:rsidRDefault="00DF364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245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Расходная часть бюджета Миасского городского округа </w:t>
      </w:r>
      <w:r w:rsidR="00176081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исполнена в сумме </w:t>
      </w:r>
      <w:r w:rsidR="00524548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</w:t>
      </w:r>
      <w:r w:rsidR="00176081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524548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437,9</w:t>
      </w:r>
      <w:r w:rsidR="00176081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 при уточненном бюджете Округа на 202</w:t>
      </w:r>
      <w:r w:rsidR="00524548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176081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 в сумме </w:t>
      </w:r>
      <w:r w:rsidR="00524548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</w:t>
      </w:r>
      <w:r w:rsidR="00176081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524548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578,8</w:t>
      </w:r>
      <w:r w:rsidR="00A4381C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рублей, или 9</w:t>
      </w:r>
      <w:r w:rsidR="00524548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8,5</w:t>
      </w:r>
      <w:r w:rsidR="00176081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</w:t>
      </w:r>
      <w:r w:rsidR="0079173C" w:rsidRPr="005245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в том числе:</w:t>
      </w:r>
    </w:p>
    <w:p w:rsidR="0079173C" w:rsidRPr="00CE0703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="00673A98"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переданны</w:t>
      </w:r>
      <w:r w:rsidR="00673A98"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государственны</w:t>
      </w:r>
      <w:r w:rsidR="00673A98"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полномочия</w:t>
      </w:r>
      <w:r w:rsidR="00673A98"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в сумме  </w:t>
      </w:r>
      <w:r w:rsid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</w:t>
      </w:r>
      <w:r w:rsidR="00376ACA"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376ACA"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120,3</w:t>
      </w: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</w:t>
      </w:r>
      <w:r w:rsidR="00CE0703"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100,3</w:t>
      </w:r>
      <w:r w:rsidRPr="00CE0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Округа);</w:t>
      </w:r>
    </w:p>
    <w:p w:rsidR="00BB0248" w:rsidRPr="0086043C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="00673A98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собственны</w:t>
      </w:r>
      <w:r w:rsidR="00673A98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полномочия</w:t>
      </w:r>
      <w:r w:rsidR="00673A98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в сумме </w:t>
      </w:r>
      <w:r w:rsidR="00CE0703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</w:t>
      </w:r>
      <w:r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CE0703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317,6</w:t>
      </w:r>
      <w:r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</w:t>
      </w:r>
      <w:r w:rsidR="00152E3E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</w:t>
      </w:r>
      <w:r w:rsidR="0086043C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="00277B2E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="0086043C"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Pr="0086043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Округа).</w:t>
      </w:r>
    </w:p>
    <w:p w:rsidR="00673A98" w:rsidRPr="00BB24FB" w:rsidRDefault="00CE0703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Рост расходов к уровню 2023</w:t>
      </w:r>
      <w:r w:rsidR="00277B2E"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года составил </w:t>
      </w:r>
      <w:r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22</w:t>
      </w:r>
      <w:r w:rsidR="00277B2E"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,6% или </w:t>
      </w:r>
      <w:r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 млрд.</w:t>
      </w:r>
      <w:r w:rsidR="00277B2E"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736,6 </w:t>
      </w:r>
      <w:r w:rsidR="00277B2E"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млн. рублей. </w:t>
      </w:r>
    </w:p>
    <w:p w:rsidR="0079173C" w:rsidRPr="00BB24FB" w:rsidRDefault="008A15F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Исполнение бюджета Округа осуществлялось по казначейской системе.</w:t>
      </w:r>
      <w:r w:rsidR="0079173C"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1B358C" w:rsidRPr="00BB24FB" w:rsidRDefault="00EA66AE" w:rsidP="00603CA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BB2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Бюджет Миасского городского округа сохраняет свою социальную направленность. </w:t>
      </w:r>
    </w:p>
    <w:p w:rsidR="00324BE9" w:rsidRPr="005F7E31" w:rsidRDefault="00276234" w:rsidP="00324B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F7E3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Расходы на социальную сферу 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 202</w:t>
      </w:r>
      <w:r w:rsidR="005F7E31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4 году составили </w:t>
      </w:r>
      <w:r w:rsidR="00436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</w:t>
      </w:r>
      <w:r w:rsidR="005F7E31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6</w:t>
      </w:r>
      <w:r w:rsidR="00436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млрд.</w:t>
      </w:r>
      <w:r w:rsidR="00436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159,</w:t>
      </w:r>
      <w:r w:rsidR="005F7E31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="00436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млн. рублей, или  </w:t>
      </w:r>
      <w:r w:rsidR="005F7E31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65,3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общего объема расходов. Доля расходов на финансирование социальной сферы в 202</w:t>
      </w:r>
      <w:r w:rsidR="005F7E31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году составляла </w:t>
      </w:r>
      <w:r w:rsidR="005F7E31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72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%, или </w:t>
      </w:r>
      <w:r w:rsidR="00817757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="00436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млрд.</w:t>
      </w:r>
      <w:r w:rsidR="00436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5F7E31"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544,6</w:t>
      </w:r>
      <w:r w:rsidR="00436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5F7E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млн. рублей в общей сумме расходов бюджета Округа. </w:t>
      </w:r>
    </w:p>
    <w:p w:rsidR="002F70F5" w:rsidRDefault="002F70F5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2F7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Основные причины увеличения расходов: увеличение заработной платы в связи с изменением индикативных показателей средней заработной платы отдельных категорий работников, установленных Указами Президента РФ, обеспечение доведения заработной платы до МРОТ с 01.01.2024 года, повышение заработной платы прочим категориям работников с 01.01.2024 года </w:t>
      </w:r>
      <w:r w:rsidRPr="002F7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на 12%, индексация социальных выплат и пособий (на 4% в соответствии с Законом Челябинской области «Об областном бюджете на</w:t>
      </w:r>
      <w:proofErr w:type="gramEnd"/>
      <w:r w:rsidRPr="002F7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gramStart"/>
      <w:r w:rsidRPr="002F7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 год и на плановый период 2025 и 2026 годов»), выделение дополнительных средств из областного бюджета (на: капитальные вложения в объекты физической культуры и спорта, в том числе ФСК «Центр скалолазания», освещение стадиона футбольного поля стадиона «Труд» и приобретение оборудования, создание и оснащение специализированных классов в целях реализации образовательных процессов в сфере разработки, производства и эксплуатации беспилотных авиационных систем, создание</w:t>
      </w:r>
      <w:proofErr w:type="gramEnd"/>
      <w:r w:rsidRPr="002F70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детских технопарков «Кванториум») и другие.    </w:t>
      </w:r>
    </w:p>
    <w:p w:rsidR="00276234" w:rsidRPr="0020157F" w:rsidRDefault="00276234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20157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На расходы в сфере экономики 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(жилищно-коммунальное хозяйство, транспорт, дорожное хозяйство, и т.д.) направлено</w:t>
      </w:r>
      <w:r w:rsidR="001D672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20157F"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="00C22EB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млрд.</w:t>
      </w:r>
      <w:r w:rsidR="008B78C2">
        <w:rPr>
          <w:rFonts w:ascii="Times New Roman" w:eastAsia="Times New Roman" w:hAnsi="Times New Roman" w:cs="Times New Roman"/>
          <w:spacing w:val="20"/>
          <w:sz w:val="28"/>
          <w:szCs w:val="28"/>
        </w:rPr>
        <w:t>754</w:t>
      </w:r>
      <w:r w:rsidR="001D6728">
        <w:rPr>
          <w:rFonts w:ascii="Times New Roman" w:eastAsia="Times New Roman" w:hAnsi="Times New Roman" w:cs="Times New Roman"/>
          <w:spacing w:val="20"/>
          <w:sz w:val="28"/>
          <w:szCs w:val="28"/>
        </w:rPr>
        <w:t>,</w:t>
      </w:r>
      <w:r w:rsidR="008B78C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2 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млн. рублей, или 2</w:t>
      </w:r>
      <w:r w:rsidR="008B78C2">
        <w:rPr>
          <w:rFonts w:ascii="Times New Roman" w:eastAsia="Times New Roman" w:hAnsi="Times New Roman" w:cs="Times New Roman"/>
          <w:spacing w:val="20"/>
          <w:sz w:val="28"/>
          <w:szCs w:val="28"/>
        </w:rPr>
        <w:t>9,2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% от общего объема расходов. В 202</w:t>
      </w:r>
      <w:r w:rsidR="0020157F"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3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 данные показатели составляли соответственно 1млрд.</w:t>
      </w:r>
      <w:r w:rsidR="0020157F"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767,7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млн. рублей  и </w:t>
      </w:r>
      <w:r w:rsidR="007C2484"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22,</w:t>
      </w:r>
      <w:r w:rsidR="0020157F"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>9</w:t>
      </w:r>
      <w:r w:rsidRPr="002015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%. </w:t>
      </w:r>
    </w:p>
    <w:p w:rsidR="00F115A4" w:rsidRPr="00F115A4" w:rsidRDefault="00F115A4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Основные причины увеличения расходов по данному направлению в 2024 году: выделение дополнительных средств из областного бюджета (на приобретение подвижного состава, благоустройство дворовых территорий и парка «Семейный», капитальный ремонт автомобильных дорог), выполнение работ по комплексному благоустройству исторической части пр. Автозаводцев и работ по проекту «Золотой старт. </w:t>
      </w:r>
    </w:p>
    <w:p w:rsidR="00BB0248" w:rsidRPr="00F115A4" w:rsidRDefault="00BB0248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>По состоянию на 01.01.202</w:t>
      </w:r>
      <w:r w:rsidR="00F115A4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>5</w:t>
      </w:r>
      <w:r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года муниципальный долг отсутствует. Гарантии и поручительства в 202</w:t>
      </w:r>
      <w:r w:rsidR="00F115A4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>4</w:t>
      </w:r>
      <w:r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 не предоставлялись.</w:t>
      </w:r>
    </w:p>
    <w:p w:rsidR="00BB0248" w:rsidRPr="00F115A4" w:rsidRDefault="002202CD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2202C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Бюджетная обеспеченность на одного жителя в отчетном году составила 58,7 тыс. рублей, при численности населения на 01.01.2024 года – 160,8 тыс. человек </w:t>
      </w:r>
      <w:r w:rsidR="00BB0248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>(в 202</w:t>
      </w:r>
      <w:r w:rsidR="00F115A4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>3</w:t>
      </w:r>
      <w:r w:rsidR="00BB0248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 – </w:t>
      </w:r>
      <w:r w:rsidR="00EA2396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>4</w:t>
      </w:r>
      <w:r w:rsidR="00F115A4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>7,8</w:t>
      </w:r>
      <w:r w:rsidR="00BB0248" w:rsidRPr="00F115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тыс. рублей).</w:t>
      </w:r>
    </w:p>
    <w:p w:rsidR="008A15F6" w:rsidRPr="00252CF8" w:rsidRDefault="008A15F6" w:rsidP="008A15F6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В течение отчетного периода  информация об исполнении бюджета регулярно предоставлялась в Собрание депутатов Миасского городского округа и Контрольно-счетную палату </w:t>
      </w:r>
      <w:r w:rsidR="00673A9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Челябинской области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. На постоянной основе проводились мероприятия по обеспечению доступности бюджетных данных дл</w:t>
      </w:r>
      <w:r w:rsidR="00C26F6A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я жителей Округа. В течение 202</w:t>
      </w:r>
      <w:r w:rsid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4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года на официальном сайте Администрации Миасского городского округа, в официальных периодических изданиях и в информационно-телекоммуникационной сети «Интернет» размещались</w:t>
      </w:r>
      <w:r w:rsidR="0050550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проекты решений о внесении изменений в бюджет Округа за отчетный период; информаци</w:t>
      </w:r>
      <w:r w:rsidR="0050550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 об исполнении бюджета Миасского городского </w:t>
      </w:r>
      <w:r w:rsidR="0050550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округа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; </w:t>
      </w:r>
      <w:r w:rsidR="0050550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брошюры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«Бюджет для граждан» об исполнении бюджета Миасского городского округа за 202</w:t>
      </w:r>
      <w:r w:rsidR="00252CF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3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 и к проекту бюджета Миас</w:t>
      </w:r>
      <w:r w:rsidR="00C26F6A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ского городского округа  на 202</w:t>
      </w:r>
      <w:r w:rsidR="00252CF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5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 и плановый период 202</w:t>
      </w:r>
      <w:r w:rsidR="00252CF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и 202</w:t>
      </w:r>
      <w:r w:rsidR="00252CF8"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>7</w:t>
      </w:r>
      <w:r w:rsidRPr="00252C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годов. Кроме того, в целях учета мнения жителей Округа, проводились опросы по содержанию и структуре  брошюры «Бюджет для граждан».</w:t>
      </w:r>
    </w:p>
    <w:p w:rsidR="0079173C" w:rsidRPr="009B1B61" w:rsidRDefault="0079173C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</w:pPr>
      <w:r w:rsidRPr="009B1B61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  <w:t>Участники публичных слушаний рекомендуют:</w:t>
      </w:r>
    </w:p>
    <w:p w:rsidR="0079173C" w:rsidRPr="009B1B61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75" w:right="57" w:firstLine="634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9B1B61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Собранию депутатов Миасского городского округа рассмотреть проект решения «Об исполнении бюджета Миасского городского округа за 20</w:t>
      </w:r>
      <w:r w:rsidR="008B78EB" w:rsidRPr="009B1B61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2</w:t>
      </w:r>
      <w:r w:rsidR="009B1B61" w:rsidRPr="009B1B61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4</w:t>
      </w:r>
      <w:r w:rsidRPr="009B1B61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год» </w:t>
      </w:r>
      <w:r w:rsidRPr="009B1B61">
        <w:rPr>
          <w:rFonts w:ascii="Times New Roman" w:eastAsia="Times New Roman" w:hAnsi="Times New Roman" w:cs="Times New Roman"/>
          <w:spacing w:val="20"/>
          <w:sz w:val="28"/>
          <w:szCs w:val="28"/>
        </w:rPr>
        <w:t>и принять его.</w:t>
      </w:r>
    </w:p>
    <w:p w:rsidR="0079173C" w:rsidRPr="00CC387A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142" w:right="57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Администрации Миасского городского округа продолжить работу: </w:t>
      </w:r>
    </w:p>
    <w:p w:rsidR="0079173C" w:rsidRPr="00CC387A" w:rsidRDefault="0079173C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привлечению в бюджет Миасского городского округа средств из вышестоящих бюджетов для дополнительного финансирования приоритетных направлений социально-экономического развития; </w:t>
      </w:r>
    </w:p>
    <w:p w:rsidR="00342DE6" w:rsidRPr="00CC387A" w:rsidRDefault="00342DE6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</w:t>
      </w:r>
      <w:proofErr w:type="gramStart"/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контролю за</w:t>
      </w:r>
      <w:proofErr w:type="gramEnd"/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обеспечением завершения строительства и ввода в эксплуатацию объектов капитально строительства;</w:t>
      </w:r>
    </w:p>
    <w:p w:rsidR="003F43CB" w:rsidRPr="003F43CB" w:rsidRDefault="00E6791A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02646">
        <w:rPr>
          <w:rFonts w:ascii="Times New Roman" w:eastAsia="Times New Roman" w:hAnsi="Times New Roman" w:cs="Times New Roman"/>
          <w:spacing w:val="20"/>
          <w:sz w:val="28"/>
          <w:szCs w:val="28"/>
        </w:rPr>
        <w:t>3</w:t>
      </w:r>
      <w:r w:rsidR="0079173C" w:rsidRPr="00802646">
        <w:rPr>
          <w:rFonts w:ascii="Times New Roman" w:eastAsia="Times New Roman" w:hAnsi="Times New Roman" w:cs="Times New Roman"/>
          <w:spacing w:val="20"/>
          <w:sz w:val="28"/>
          <w:szCs w:val="28"/>
        </w:rPr>
        <w:t>)</w:t>
      </w:r>
      <w:r w:rsidR="0079173C" w:rsidRPr="00802646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 </w:t>
      </w:r>
      <w:r w:rsidR="003F43CB" w:rsidRPr="003F43CB">
        <w:rPr>
          <w:rFonts w:ascii="Times New Roman" w:eastAsia="Times New Roman" w:hAnsi="Times New Roman" w:cs="Times New Roman"/>
          <w:spacing w:val="20"/>
          <w:sz w:val="28"/>
          <w:szCs w:val="28"/>
        </w:rPr>
        <w:t>рабочей группы по недоимке в бюджеты всех уровней.</w:t>
      </w:r>
    </w:p>
    <w:p w:rsidR="00342DE6" w:rsidRPr="00CC387A" w:rsidRDefault="0079173C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B1B61">
        <w:rPr>
          <w:rFonts w:ascii="Times New Roman" w:eastAsia="Times New Roman" w:hAnsi="Times New Roman" w:cs="Times New Roman"/>
          <w:spacing w:val="20"/>
          <w:sz w:val="28"/>
          <w:szCs w:val="28"/>
        </w:rPr>
        <w:t>3.</w:t>
      </w:r>
      <w:r w:rsidRPr="009B1B61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Главным администраторам доходов бюджета Округа повысить </w:t>
      </w:r>
      <w:r w:rsidR="00342DE6" w:rsidRPr="009B1B6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уровень собираемости и качество </w:t>
      </w:r>
      <w:r w:rsidRPr="009B1B61">
        <w:rPr>
          <w:rFonts w:ascii="Times New Roman" w:eastAsia="Times New Roman" w:hAnsi="Times New Roman" w:cs="Times New Roman"/>
          <w:spacing w:val="20"/>
          <w:sz w:val="28"/>
          <w:szCs w:val="28"/>
        </w:rPr>
        <w:t>прогноз</w:t>
      </w:r>
      <w:r w:rsidR="00342DE6" w:rsidRPr="009B1B6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ирования поступления администрируемых доходов в бюджет Округа, а также продолжить работу по сокращению имеющейся задолженности и </w:t>
      </w:r>
      <w:r w:rsidR="00342DE6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приняти</w:t>
      </w:r>
      <w:r w:rsidR="008A15F6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ю</w:t>
      </w:r>
      <w:r w:rsidR="00342DE6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своевременных мер по ее взысканию.</w:t>
      </w:r>
    </w:p>
    <w:p w:rsidR="00E227A7" w:rsidRPr="00CC387A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4.</w:t>
      </w: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>Главным распорядителям средств бюджета Округа</w:t>
      </w:r>
      <w:r w:rsidR="00E227A7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</w:p>
    <w:p w:rsidR="0079173C" w:rsidRPr="00CC387A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1) </w:t>
      </w:r>
      <w:r w:rsidR="00E227A7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по </w:t>
      </w: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осуществл</w:t>
      </w:r>
      <w:r w:rsidR="00E227A7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ению</w:t>
      </w: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</w:t>
      </w:r>
      <w:r w:rsidR="00E227A7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я</w:t>
      </w: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за</w:t>
      </w:r>
      <w:proofErr w:type="gramEnd"/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достижением высоких показателей качества управления финансами и укрепления финансовой дисциплины;</w:t>
      </w:r>
    </w:p>
    <w:p w:rsidR="00722281" w:rsidRPr="00CC387A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79173C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) </w:t>
      </w:r>
      <w:r w:rsidR="00E227A7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</w:t>
      </w:r>
      <w:r w:rsidR="00E227A7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="0079173C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</w:t>
      </w:r>
      <w:r w:rsidR="00031E2D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ению </w:t>
      </w:r>
      <w:r w:rsidR="0079173C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целево</w:t>
      </w:r>
      <w:r w:rsidR="00031E2D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</w:t>
      </w:r>
      <w:r w:rsidR="0079173C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использовани</w:t>
      </w:r>
      <w:r w:rsidR="00031E2D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я </w:t>
      </w:r>
      <w:r w:rsidR="0079173C" w:rsidRPr="00CC38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</w:t>
      </w:r>
      <w:r w:rsidR="0079173C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повыш</w:t>
      </w:r>
      <w:r w:rsidR="00031E2D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ению</w:t>
      </w:r>
      <w:r w:rsidR="0079173C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эффективность </w:t>
      </w:r>
      <w:r w:rsidR="00031E2D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расходования</w:t>
      </w:r>
      <w:r w:rsidR="00CE06B0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бюджетных средств, в том числе предусмотренных на реализацию национальных проектов</w:t>
      </w:r>
      <w:r w:rsidR="001B358C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79173C" w:rsidRPr="00CC387A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усилить контроль за выполнением учреждениями Округа </w:t>
      </w:r>
      <w:r w:rsidRPr="00CC387A">
        <w:rPr>
          <w:rFonts w:ascii="Times New Roman" w:hAnsi="Times New Roman"/>
          <w:sz w:val="28"/>
          <w:szCs w:val="28"/>
          <w:lang w:eastAsia="ru-RU"/>
        </w:rPr>
        <w:t>муниципальных заданий на оказание муниципальных услуг</w:t>
      </w:r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, в том числе за </w:t>
      </w:r>
      <w:proofErr w:type="gramStart"/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достижением</w:t>
      </w:r>
      <w:proofErr w:type="gramEnd"/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установленных в них показателей;</w:t>
      </w:r>
    </w:p>
    <w:p w:rsidR="00EF2156" w:rsidRPr="00CC387A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4</w:t>
      </w:r>
      <w:r w:rsidR="0079173C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</w:t>
      </w:r>
      <w:r w:rsidR="00EF2156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не допускать</w:t>
      </w:r>
      <w:r w:rsidR="0079173C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:</w:t>
      </w:r>
    </w:p>
    <w:p w:rsidR="0079173C" w:rsidRPr="00CC387A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- принятие новых расходных обязатель</w:t>
      </w:r>
      <w:proofErr w:type="gramStart"/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ств пр</w:t>
      </w:r>
      <w:proofErr w:type="gramEnd"/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отсутствии средств на финансирование действующих расходных обязательств;</w:t>
      </w:r>
      <w:r w:rsidR="0079173C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EF2156" w:rsidRPr="00CC387A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- </w:t>
      </w: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образования просроченной кредиторской задолженности по расходным обязательствам Округа</w:t>
      </w:r>
      <w:r w:rsidR="00722281"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t>, в первую очередь, по заработной плате работникам муниципальных учреждений;</w:t>
      </w:r>
    </w:p>
    <w:p w:rsidR="00722281" w:rsidRPr="00CC387A" w:rsidRDefault="0072228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C387A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- принятие бюджетных обязательств в размерах, превышающих доведенные лимиты бюджетных обязательств;</w:t>
      </w:r>
    </w:p>
    <w:p w:rsidR="00722281" w:rsidRPr="00CC387A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  <w:t>5</w:t>
      </w:r>
      <w:r w:rsidR="00722281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обеспечить </w:t>
      </w:r>
      <w:r w:rsidR="00603CAB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выполнение индикативных показателей</w:t>
      </w:r>
      <w:r w:rsidR="00722281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средней заработной платы работников бюджетной сферы в соответствии с Указами Президента Российской Федерации от 07.05.2012 года</w:t>
      </w:r>
      <w:r w:rsidR="00603CAB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и</w:t>
      </w:r>
      <w:r w:rsidR="00603CAB" w:rsidRPr="00CC387A">
        <w:t xml:space="preserve"> </w:t>
      </w:r>
      <w:r w:rsidR="00603CAB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доведение заработной платы до минимального </w:t>
      </w:r>
      <w:proofErr w:type="gramStart"/>
      <w:r w:rsidR="00603CAB"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размера оплаты труда</w:t>
      </w:r>
      <w:proofErr w:type="gramEnd"/>
      <w:r w:rsidRPr="00CC387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807611" w:rsidRPr="009B1B61" w:rsidRDefault="0080761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CC387A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5. Межрайонной ИФНС России № </w:t>
      </w:r>
      <w:r w:rsidR="00612181" w:rsidRPr="00CC387A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3</w:t>
      </w:r>
      <w:r w:rsidR="0049157A" w:rsidRPr="00CC387A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1</w:t>
      </w:r>
      <w:r w:rsidRPr="00CC387A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по Челябинской области</w:t>
      </w: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продолжить работу по: </w:t>
      </w:r>
    </w:p>
    <w:p w:rsidR="003E7605" w:rsidRPr="009B1B61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ab/>
      </w:r>
      <w:r w:rsidR="00317ECF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1) </w:t>
      </w:r>
      <w:r w:rsidR="003E7605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обеспечению своевременного и в полном объеме поступления в бюджет Округа налогов и сборов;</w:t>
      </w:r>
    </w:p>
    <w:p w:rsidR="003E7605" w:rsidRPr="009B1B61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ab/>
      </w:r>
      <w:r w:rsidR="0049157A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2</w:t>
      </w:r>
      <w:r w:rsidR="00317ECF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) </w:t>
      </w:r>
      <w:r w:rsidR="003E7605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проведению комплексных мероприятий по легализации налоговой базы и объектов налогообложения, в том числе по легализации заработной платы, а также по сокращению неформальной занятости населения</w:t>
      </w:r>
      <w:r w:rsidR="00E65F1A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;</w:t>
      </w:r>
      <w:r w:rsidR="003E7605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</w:t>
      </w:r>
    </w:p>
    <w:p w:rsidR="00807611" w:rsidRPr="009B1B61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ab/>
      </w:r>
      <w:r w:rsidR="0049157A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3</w:t>
      </w:r>
      <w:r w:rsidR="00E65F1A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) </w:t>
      </w:r>
      <w:r w:rsidR="00807611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актуализации базы данных налоговых органов с целью обеспечения полноты и правильности исчисления имущественных налогов, а также уплаты физическими и юридическими лицами соответствующих налогов</w:t>
      </w:r>
      <w:r w:rsidR="00370218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.</w:t>
      </w:r>
    </w:p>
    <w:p w:rsidR="0049157A" w:rsidRPr="009B1B61" w:rsidRDefault="0049157A" w:rsidP="0049157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6. Межрайонной ИФНС России № 32 по Челябинской области</w:t>
      </w:r>
      <w:r w:rsidR="001C032B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1C032B" w:rsidRPr="009B1B6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r w:rsidR="001C032B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Центр по управлению долгом)</w:t>
      </w: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продолжить работу по реализации предусмотренных законодательством Российской Федерации мер по обеспечению полноты взыскания имею</w:t>
      </w:r>
      <w:r w:rsidR="00D34A45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щейся задолженности по налогами</w:t>
      </w: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сборам в бюджеты бюджетной системы Российской Федерации.</w:t>
      </w:r>
    </w:p>
    <w:p w:rsidR="0079173C" w:rsidRPr="009B1B61" w:rsidRDefault="0049157A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="0079173C"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  <w:r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</w:rPr>
        <w:t xml:space="preserve"> </w:t>
      </w:r>
      <w:r w:rsidR="0079173C" w:rsidRPr="009B1B6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</w:rPr>
        <w:t xml:space="preserve">Руководителям организаций, индивидуальным предпринимателям и физическим лицам, являющимся налогоплательщиками на территории Миасского городского округа, </w:t>
      </w:r>
      <w:r w:rsidR="0079173C"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обеспечивать своевременное и полное перечисление текущих платежей, а также погашение имеющейся задолженности по платежам в бюджетную систему Российской Федерации.</w:t>
      </w:r>
    </w:p>
    <w:p w:rsidR="00700F8E" w:rsidRPr="009B1B61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</w:p>
    <w:p w:rsidR="00700F8E" w:rsidRPr="00052C99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highlight w:val="yellow"/>
        </w:rPr>
      </w:pPr>
    </w:p>
    <w:p w:rsidR="00700F8E" w:rsidRPr="00052C99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highlight w:val="yellow"/>
        </w:rPr>
      </w:pPr>
    </w:p>
    <w:p w:rsidR="00700F8E" w:rsidRPr="00052C99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highlight w:val="yellow"/>
        </w:rPr>
      </w:pPr>
    </w:p>
    <w:p w:rsidR="00700F8E" w:rsidRPr="00052C99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highlight w:val="yellow"/>
        </w:rPr>
      </w:pPr>
    </w:p>
    <w:p w:rsidR="0079173C" w:rsidRPr="00E6791A" w:rsidRDefault="0079173C" w:rsidP="0079173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</w:pPr>
      <w:r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г. Миасс                                         </w:t>
      </w:r>
      <w:r w:rsidR="00E227A7"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        </w:t>
      </w:r>
      <w:r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                              </w:t>
      </w:r>
      <w:r w:rsidR="00E168A6"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</w:t>
      </w:r>
      <w:r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>20</w:t>
      </w:r>
      <w:r w:rsidR="00E168A6"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>2</w:t>
      </w:r>
      <w:r w:rsidR="009B1B61"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>5</w:t>
      </w:r>
      <w:r w:rsidRPr="009B1B61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год</w:t>
      </w:r>
    </w:p>
    <w:p w:rsidR="004F7573" w:rsidRPr="00E6791A" w:rsidRDefault="004F7573">
      <w:pPr>
        <w:rPr>
          <w:color w:val="000000" w:themeColor="text1"/>
        </w:rPr>
      </w:pPr>
    </w:p>
    <w:sectPr w:rsidR="004F7573" w:rsidRPr="00E6791A" w:rsidSect="00B607A4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BF2"/>
    <w:multiLevelType w:val="hybridMultilevel"/>
    <w:tmpl w:val="8A987922"/>
    <w:lvl w:ilvl="0" w:tplc="DFEAC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3977"/>
    <w:multiLevelType w:val="hybridMultilevel"/>
    <w:tmpl w:val="1F380C60"/>
    <w:lvl w:ilvl="0" w:tplc="64B28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4287"/>
    <w:multiLevelType w:val="hybridMultilevel"/>
    <w:tmpl w:val="F27C030E"/>
    <w:lvl w:ilvl="0" w:tplc="BF8AAB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1427B"/>
    <w:multiLevelType w:val="hybridMultilevel"/>
    <w:tmpl w:val="6D6E8A0E"/>
    <w:lvl w:ilvl="0" w:tplc="DFEAC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A2778C7"/>
    <w:multiLevelType w:val="hybridMultilevel"/>
    <w:tmpl w:val="76A04984"/>
    <w:lvl w:ilvl="0" w:tplc="DFEAC0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73C"/>
    <w:rsid w:val="000005AE"/>
    <w:rsid w:val="00000825"/>
    <w:rsid w:val="00010F07"/>
    <w:rsid w:val="00014CAE"/>
    <w:rsid w:val="00031E2D"/>
    <w:rsid w:val="00052C99"/>
    <w:rsid w:val="00061A0C"/>
    <w:rsid w:val="00067E67"/>
    <w:rsid w:val="000703F4"/>
    <w:rsid w:val="00081AF4"/>
    <w:rsid w:val="000A7933"/>
    <w:rsid w:val="000B11FD"/>
    <w:rsid w:val="000C41C8"/>
    <w:rsid w:val="000E6639"/>
    <w:rsid w:val="000F750B"/>
    <w:rsid w:val="00103865"/>
    <w:rsid w:val="00104324"/>
    <w:rsid w:val="00111412"/>
    <w:rsid w:val="00115C8E"/>
    <w:rsid w:val="00116E9C"/>
    <w:rsid w:val="00124913"/>
    <w:rsid w:val="0012642C"/>
    <w:rsid w:val="0012649A"/>
    <w:rsid w:val="00141585"/>
    <w:rsid w:val="00152E3E"/>
    <w:rsid w:val="0015312B"/>
    <w:rsid w:val="00153571"/>
    <w:rsid w:val="001554DC"/>
    <w:rsid w:val="00156772"/>
    <w:rsid w:val="00176081"/>
    <w:rsid w:val="00197A88"/>
    <w:rsid w:val="001A780E"/>
    <w:rsid w:val="001B358C"/>
    <w:rsid w:val="001C032B"/>
    <w:rsid w:val="001D3DCE"/>
    <w:rsid w:val="001D3F1C"/>
    <w:rsid w:val="001D6728"/>
    <w:rsid w:val="001E0779"/>
    <w:rsid w:val="001E1E72"/>
    <w:rsid w:val="001F7F2B"/>
    <w:rsid w:val="0020157F"/>
    <w:rsid w:val="00204C84"/>
    <w:rsid w:val="00204F51"/>
    <w:rsid w:val="00210561"/>
    <w:rsid w:val="0021441E"/>
    <w:rsid w:val="002145DB"/>
    <w:rsid w:val="002202CD"/>
    <w:rsid w:val="00221E8D"/>
    <w:rsid w:val="0022644A"/>
    <w:rsid w:val="002323BC"/>
    <w:rsid w:val="0023485C"/>
    <w:rsid w:val="00244751"/>
    <w:rsid w:val="00245574"/>
    <w:rsid w:val="00252CF8"/>
    <w:rsid w:val="002673BC"/>
    <w:rsid w:val="00267DD7"/>
    <w:rsid w:val="00276234"/>
    <w:rsid w:val="00277B2E"/>
    <w:rsid w:val="002921F5"/>
    <w:rsid w:val="002B751C"/>
    <w:rsid w:val="002C16CE"/>
    <w:rsid w:val="002C5CEC"/>
    <w:rsid w:val="002C6EF6"/>
    <w:rsid w:val="002E30BD"/>
    <w:rsid w:val="002F70F5"/>
    <w:rsid w:val="00304BFA"/>
    <w:rsid w:val="00317ECF"/>
    <w:rsid w:val="00324BE9"/>
    <w:rsid w:val="0033444E"/>
    <w:rsid w:val="00342DE6"/>
    <w:rsid w:val="00353BBE"/>
    <w:rsid w:val="003673C2"/>
    <w:rsid w:val="00367922"/>
    <w:rsid w:val="00370218"/>
    <w:rsid w:val="003743E9"/>
    <w:rsid w:val="00376ACA"/>
    <w:rsid w:val="00381F39"/>
    <w:rsid w:val="00383017"/>
    <w:rsid w:val="00383FDF"/>
    <w:rsid w:val="0038796B"/>
    <w:rsid w:val="003901F5"/>
    <w:rsid w:val="00391AFF"/>
    <w:rsid w:val="00396B13"/>
    <w:rsid w:val="003A31E6"/>
    <w:rsid w:val="003A4D38"/>
    <w:rsid w:val="003A5D2A"/>
    <w:rsid w:val="003B08E8"/>
    <w:rsid w:val="003C04FA"/>
    <w:rsid w:val="003E0052"/>
    <w:rsid w:val="003E7605"/>
    <w:rsid w:val="003F43CB"/>
    <w:rsid w:val="003F6FC9"/>
    <w:rsid w:val="003F7E2A"/>
    <w:rsid w:val="0040718E"/>
    <w:rsid w:val="00433BBA"/>
    <w:rsid w:val="004360F5"/>
    <w:rsid w:val="00440BC0"/>
    <w:rsid w:val="00441D64"/>
    <w:rsid w:val="00443F5E"/>
    <w:rsid w:val="004454A0"/>
    <w:rsid w:val="0045293E"/>
    <w:rsid w:val="0046460A"/>
    <w:rsid w:val="00467674"/>
    <w:rsid w:val="004754C0"/>
    <w:rsid w:val="00483562"/>
    <w:rsid w:val="004842BB"/>
    <w:rsid w:val="0048650E"/>
    <w:rsid w:val="0049157A"/>
    <w:rsid w:val="0049420F"/>
    <w:rsid w:val="004A00B2"/>
    <w:rsid w:val="004A1001"/>
    <w:rsid w:val="004A55E9"/>
    <w:rsid w:val="004B04B8"/>
    <w:rsid w:val="004B6F5E"/>
    <w:rsid w:val="004C15AE"/>
    <w:rsid w:val="004C2E9D"/>
    <w:rsid w:val="004C5A68"/>
    <w:rsid w:val="004D11A9"/>
    <w:rsid w:val="004E0A63"/>
    <w:rsid w:val="004F7573"/>
    <w:rsid w:val="00501306"/>
    <w:rsid w:val="00504935"/>
    <w:rsid w:val="00505508"/>
    <w:rsid w:val="0051439B"/>
    <w:rsid w:val="00515751"/>
    <w:rsid w:val="00524548"/>
    <w:rsid w:val="00530951"/>
    <w:rsid w:val="00545BF1"/>
    <w:rsid w:val="005658A6"/>
    <w:rsid w:val="0058078F"/>
    <w:rsid w:val="00581513"/>
    <w:rsid w:val="00590300"/>
    <w:rsid w:val="00593599"/>
    <w:rsid w:val="0059558E"/>
    <w:rsid w:val="005A24B5"/>
    <w:rsid w:val="005A7680"/>
    <w:rsid w:val="005D5C56"/>
    <w:rsid w:val="005E2E68"/>
    <w:rsid w:val="005E35F6"/>
    <w:rsid w:val="005F1357"/>
    <w:rsid w:val="005F7E31"/>
    <w:rsid w:val="00600C49"/>
    <w:rsid w:val="00603CAB"/>
    <w:rsid w:val="0060666A"/>
    <w:rsid w:val="00612181"/>
    <w:rsid w:val="0062047F"/>
    <w:rsid w:val="006232B2"/>
    <w:rsid w:val="00630340"/>
    <w:rsid w:val="00631C9B"/>
    <w:rsid w:val="00633715"/>
    <w:rsid w:val="006346A9"/>
    <w:rsid w:val="006368AE"/>
    <w:rsid w:val="00647739"/>
    <w:rsid w:val="00665476"/>
    <w:rsid w:val="00673A98"/>
    <w:rsid w:val="00677E31"/>
    <w:rsid w:val="00681F19"/>
    <w:rsid w:val="00690FE7"/>
    <w:rsid w:val="00693013"/>
    <w:rsid w:val="006A347D"/>
    <w:rsid w:val="006B0F7D"/>
    <w:rsid w:val="006D01B9"/>
    <w:rsid w:val="006D312E"/>
    <w:rsid w:val="006D7EF0"/>
    <w:rsid w:val="006E0F14"/>
    <w:rsid w:val="006F49BF"/>
    <w:rsid w:val="00700F8E"/>
    <w:rsid w:val="00706EE5"/>
    <w:rsid w:val="007071EE"/>
    <w:rsid w:val="00722281"/>
    <w:rsid w:val="007400B7"/>
    <w:rsid w:val="00754151"/>
    <w:rsid w:val="00760856"/>
    <w:rsid w:val="00781C42"/>
    <w:rsid w:val="007847B3"/>
    <w:rsid w:val="0079173C"/>
    <w:rsid w:val="00793F6B"/>
    <w:rsid w:val="00795AE6"/>
    <w:rsid w:val="007B74F9"/>
    <w:rsid w:val="007B78D9"/>
    <w:rsid w:val="007C2484"/>
    <w:rsid w:val="007C4386"/>
    <w:rsid w:val="007E3A30"/>
    <w:rsid w:val="007E5C00"/>
    <w:rsid w:val="007E5EFE"/>
    <w:rsid w:val="007F3E65"/>
    <w:rsid w:val="007F4E3D"/>
    <w:rsid w:val="00802646"/>
    <w:rsid w:val="00804A15"/>
    <w:rsid w:val="00807611"/>
    <w:rsid w:val="00812E68"/>
    <w:rsid w:val="00813E47"/>
    <w:rsid w:val="00816E1F"/>
    <w:rsid w:val="00817757"/>
    <w:rsid w:val="0082116F"/>
    <w:rsid w:val="0082433E"/>
    <w:rsid w:val="00831BBD"/>
    <w:rsid w:val="00851011"/>
    <w:rsid w:val="00851E7E"/>
    <w:rsid w:val="0086043C"/>
    <w:rsid w:val="008720B7"/>
    <w:rsid w:val="0087263A"/>
    <w:rsid w:val="0087708D"/>
    <w:rsid w:val="00892A38"/>
    <w:rsid w:val="00895D70"/>
    <w:rsid w:val="008A15F6"/>
    <w:rsid w:val="008A7F0F"/>
    <w:rsid w:val="008B78C2"/>
    <w:rsid w:val="008B78EB"/>
    <w:rsid w:val="008D3866"/>
    <w:rsid w:val="008E147C"/>
    <w:rsid w:val="009063AD"/>
    <w:rsid w:val="00927633"/>
    <w:rsid w:val="009311EE"/>
    <w:rsid w:val="00942553"/>
    <w:rsid w:val="00953387"/>
    <w:rsid w:val="00954372"/>
    <w:rsid w:val="0096009B"/>
    <w:rsid w:val="0096232B"/>
    <w:rsid w:val="00967BCB"/>
    <w:rsid w:val="009831BF"/>
    <w:rsid w:val="009862B7"/>
    <w:rsid w:val="0099427C"/>
    <w:rsid w:val="009A530D"/>
    <w:rsid w:val="009A6BF3"/>
    <w:rsid w:val="009B19AF"/>
    <w:rsid w:val="009B1B61"/>
    <w:rsid w:val="009B3244"/>
    <w:rsid w:val="009D6AD6"/>
    <w:rsid w:val="009D7B78"/>
    <w:rsid w:val="009E1E50"/>
    <w:rsid w:val="009E2B55"/>
    <w:rsid w:val="009E3E4F"/>
    <w:rsid w:val="009F4042"/>
    <w:rsid w:val="009F4134"/>
    <w:rsid w:val="00A061E1"/>
    <w:rsid w:val="00A231DD"/>
    <w:rsid w:val="00A261B0"/>
    <w:rsid w:val="00A35207"/>
    <w:rsid w:val="00A37801"/>
    <w:rsid w:val="00A4381C"/>
    <w:rsid w:val="00A5210A"/>
    <w:rsid w:val="00A57CA8"/>
    <w:rsid w:val="00A60731"/>
    <w:rsid w:val="00A632E7"/>
    <w:rsid w:val="00A70626"/>
    <w:rsid w:val="00A729FC"/>
    <w:rsid w:val="00A7578B"/>
    <w:rsid w:val="00A775DE"/>
    <w:rsid w:val="00A828CB"/>
    <w:rsid w:val="00A975F3"/>
    <w:rsid w:val="00AA0260"/>
    <w:rsid w:val="00AA16D5"/>
    <w:rsid w:val="00AA6311"/>
    <w:rsid w:val="00AA6BB3"/>
    <w:rsid w:val="00AC3A63"/>
    <w:rsid w:val="00AC3B58"/>
    <w:rsid w:val="00AE2D0A"/>
    <w:rsid w:val="00B06082"/>
    <w:rsid w:val="00B066C2"/>
    <w:rsid w:val="00B22293"/>
    <w:rsid w:val="00B2352A"/>
    <w:rsid w:val="00B33D0A"/>
    <w:rsid w:val="00B42D22"/>
    <w:rsid w:val="00B42FF3"/>
    <w:rsid w:val="00B4700F"/>
    <w:rsid w:val="00B548F9"/>
    <w:rsid w:val="00B607A4"/>
    <w:rsid w:val="00B76564"/>
    <w:rsid w:val="00B80F3D"/>
    <w:rsid w:val="00B822D8"/>
    <w:rsid w:val="00B85AA9"/>
    <w:rsid w:val="00BB0248"/>
    <w:rsid w:val="00BB24FB"/>
    <w:rsid w:val="00BB3471"/>
    <w:rsid w:val="00BC3A33"/>
    <w:rsid w:val="00BD1A8E"/>
    <w:rsid w:val="00BE38F1"/>
    <w:rsid w:val="00BE45DE"/>
    <w:rsid w:val="00BF25D4"/>
    <w:rsid w:val="00C00F96"/>
    <w:rsid w:val="00C035AE"/>
    <w:rsid w:val="00C05993"/>
    <w:rsid w:val="00C15D03"/>
    <w:rsid w:val="00C22EB1"/>
    <w:rsid w:val="00C269EE"/>
    <w:rsid w:val="00C26F6A"/>
    <w:rsid w:val="00C34348"/>
    <w:rsid w:val="00C51101"/>
    <w:rsid w:val="00C5557F"/>
    <w:rsid w:val="00C56414"/>
    <w:rsid w:val="00C600E0"/>
    <w:rsid w:val="00C60BA0"/>
    <w:rsid w:val="00C6465A"/>
    <w:rsid w:val="00C74D52"/>
    <w:rsid w:val="00C80F18"/>
    <w:rsid w:val="00CA15D3"/>
    <w:rsid w:val="00CC387A"/>
    <w:rsid w:val="00CC5AA6"/>
    <w:rsid w:val="00CC6911"/>
    <w:rsid w:val="00CD0978"/>
    <w:rsid w:val="00CE06B0"/>
    <w:rsid w:val="00CE0703"/>
    <w:rsid w:val="00D152F1"/>
    <w:rsid w:val="00D15A1D"/>
    <w:rsid w:val="00D23199"/>
    <w:rsid w:val="00D25470"/>
    <w:rsid w:val="00D34A45"/>
    <w:rsid w:val="00D40F5A"/>
    <w:rsid w:val="00D60C4B"/>
    <w:rsid w:val="00D63E35"/>
    <w:rsid w:val="00D948F9"/>
    <w:rsid w:val="00DA09E1"/>
    <w:rsid w:val="00DA787E"/>
    <w:rsid w:val="00DB184B"/>
    <w:rsid w:val="00DB4D94"/>
    <w:rsid w:val="00DB51F6"/>
    <w:rsid w:val="00DB5D5B"/>
    <w:rsid w:val="00DB7687"/>
    <w:rsid w:val="00DC4429"/>
    <w:rsid w:val="00DC5C66"/>
    <w:rsid w:val="00DE3937"/>
    <w:rsid w:val="00DF3646"/>
    <w:rsid w:val="00E1372E"/>
    <w:rsid w:val="00E168A6"/>
    <w:rsid w:val="00E16E0E"/>
    <w:rsid w:val="00E227A7"/>
    <w:rsid w:val="00E251C1"/>
    <w:rsid w:val="00E27068"/>
    <w:rsid w:val="00E35942"/>
    <w:rsid w:val="00E435F7"/>
    <w:rsid w:val="00E540AF"/>
    <w:rsid w:val="00E641B4"/>
    <w:rsid w:val="00E65F1A"/>
    <w:rsid w:val="00E6791A"/>
    <w:rsid w:val="00E71EFE"/>
    <w:rsid w:val="00E7607D"/>
    <w:rsid w:val="00E86B2A"/>
    <w:rsid w:val="00EA1357"/>
    <w:rsid w:val="00EA2396"/>
    <w:rsid w:val="00EA66AE"/>
    <w:rsid w:val="00EB2EB3"/>
    <w:rsid w:val="00ED1A2A"/>
    <w:rsid w:val="00ED6284"/>
    <w:rsid w:val="00ED6E05"/>
    <w:rsid w:val="00EF2156"/>
    <w:rsid w:val="00EF6ADD"/>
    <w:rsid w:val="00EF76E6"/>
    <w:rsid w:val="00F115A4"/>
    <w:rsid w:val="00F13591"/>
    <w:rsid w:val="00F13BD5"/>
    <w:rsid w:val="00F27B4B"/>
    <w:rsid w:val="00F32398"/>
    <w:rsid w:val="00F3347E"/>
    <w:rsid w:val="00F47F2E"/>
    <w:rsid w:val="00F71892"/>
    <w:rsid w:val="00F732CA"/>
    <w:rsid w:val="00F93D36"/>
    <w:rsid w:val="00FA1E0D"/>
    <w:rsid w:val="00FA461F"/>
    <w:rsid w:val="00FA6A4C"/>
    <w:rsid w:val="00FB128B"/>
    <w:rsid w:val="00FB4874"/>
    <w:rsid w:val="00FE3E09"/>
    <w:rsid w:val="00FE523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144</cp:revision>
  <cp:lastPrinted>2025-03-31T10:50:00Z</cp:lastPrinted>
  <dcterms:created xsi:type="dcterms:W3CDTF">2024-03-05T09:00:00Z</dcterms:created>
  <dcterms:modified xsi:type="dcterms:W3CDTF">2025-04-08T06:07:00Z</dcterms:modified>
</cp:coreProperties>
</file>