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3C" w:rsidRPr="0079173C" w:rsidRDefault="00693013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</w:t>
      </w:r>
      <w:r w:rsidR="0079173C"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                                                                          </w:t>
      </w:r>
      <w:proofErr w:type="gramStart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</w:t>
      </w:r>
      <w:proofErr w:type="gramEnd"/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Р О Е К Т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       </w:t>
      </w:r>
    </w:p>
    <w:p w:rsidR="0079173C" w:rsidRPr="0079173C" w:rsidRDefault="0079173C" w:rsidP="0079173C">
      <w:pPr>
        <w:widowControl w:val="0"/>
        <w:spacing w:after="889" w:line="360" w:lineRule="auto"/>
        <w:ind w:firstLine="52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РЕКОМЕНДАЦИИ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публичных слушаний по проекту  решения Собрания депутатов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«Об исполнении бюджета Миасского городского округа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</w:rPr>
      </w:pP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за 20</w:t>
      </w:r>
      <w:r w:rsidR="0051439B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2</w:t>
      </w:r>
      <w:r w:rsidR="00AA6BB3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>3</w:t>
      </w:r>
      <w:r w:rsidRPr="0079173C">
        <w:rPr>
          <w:rFonts w:ascii="Times New Roman" w:eastAsia="Times New Roman" w:hAnsi="Times New Roman" w:cs="Times New Roman"/>
          <w:b/>
          <w:spacing w:val="20"/>
          <w:sz w:val="26"/>
          <w:szCs w:val="26"/>
        </w:rPr>
        <w:t xml:space="preserve"> год»</w:t>
      </w: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79173C" w:rsidP="0079173C">
      <w:pPr>
        <w:widowControl w:val="0"/>
        <w:spacing w:after="240" w:line="360" w:lineRule="auto"/>
        <w:ind w:firstLine="522"/>
        <w:jc w:val="center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</w:p>
    <w:p w:rsidR="0079173C" w:rsidRPr="0079173C" w:rsidRDefault="00E168A6" w:rsidP="0079173C">
      <w:pPr>
        <w:widowControl w:val="0"/>
        <w:spacing w:after="0" w:line="360" w:lineRule="auto"/>
        <w:ind w:firstLine="520"/>
        <w:jc w:val="both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AA6BB3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1</w:t>
      </w:r>
      <w:r w:rsidR="00673A98">
        <w:rPr>
          <w:rFonts w:ascii="Times New Roman" w:eastAsia="Times New Roman" w:hAnsi="Times New Roman" w:cs="Times New Roman"/>
          <w:spacing w:val="20"/>
          <w:sz w:val="26"/>
          <w:szCs w:val="26"/>
        </w:rPr>
        <w:t>1</w:t>
      </w:r>
      <w:r w:rsidR="003A5D2A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.0</w:t>
      </w:r>
      <w:r w:rsidR="00AA6BB3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4</w:t>
      </w:r>
      <w:r w:rsidR="003A5D2A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.</w:t>
      </w:r>
      <w:r w:rsidR="0079173C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202</w:t>
      </w:r>
      <w:r w:rsidR="00545BF1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4</w:t>
      </w:r>
      <w:r w:rsidR="0079173C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г</w:t>
      </w:r>
      <w:r w:rsidR="003A5D2A" w:rsidRPr="00545BF1">
        <w:rPr>
          <w:rFonts w:ascii="Times New Roman" w:eastAsia="Times New Roman" w:hAnsi="Times New Roman" w:cs="Times New Roman"/>
          <w:spacing w:val="20"/>
          <w:sz w:val="26"/>
          <w:szCs w:val="26"/>
        </w:rPr>
        <w:t>.</w:t>
      </w:r>
      <w:r w:rsidR="003A5D2A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        </w:t>
      </w:r>
      <w:r w:rsidR="00E227A7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</w:t>
      </w:r>
      <w:r w:rsidR="0079173C" w:rsidRPr="0079173C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                  Миасс</w:t>
      </w:r>
      <w:r w:rsidR="0079173C" w:rsidRPr="0079173C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 xml:space="preserve">     </w:t>
      </w:r>
    </w:p>
    <w:p w:rsidR="00DC4429" w:rsidRDefault="00DC4429" w:rsidP="00791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603CAB" w:rsidRDefault="00603CAB" w:rsidP="007917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176081" w:rsidRPr="009F4042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</w:pPr>
      <w:r w:rsidRP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lastRenderedPageBreak/>
        <w:t xml:space="preserve">Участники публичных слушаний, рассмотрев проект </w:t>
      </w:r>
      <w:r w:rsidRPr="009F4042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</w:rPr>
        <w:t xml:space="preserve">решения Собрания депутатов Миасского городского округа </w:t>
      </w:r>
      <w:r w:rsidRPr="009F4042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>«Об исполнении бюдже</w:t>
      </w:r>
      <w:r w:rsidR="004842BB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 xml:space="preserve">та Миасского городского округа </w:t>
      </w:r>
      <w:r w:rsidRPr="009F4042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>за 20</w:t>
      </w:r>
      <w:r w:rsidR="00176081" w:rsidRPr="009F4042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>2</w:t>
      </w:r>
      <w:r w:rsidR="009F4042" w:rsidRPr="009F4042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>3</w:t>
      </w:r>
      <w:r w:rsidRPr="009F4042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u w:val="single"/>
        </w:rPr>
        <w:t xml:space="preserve"> год»</w:t>
      </w:r>
      <w:r w:rsidRP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отмечают, </w:t>
      </w:r>
      <w:r w:rsidR="00DC4429" w:rsidRP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что </w:t>
      </w:r>
      <w:r w:rsidR="0021441E" w:rsidRP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в </w:t>
      </w:r>
      <w:r w:rsidRP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20</w:t>
      </w:r>
      <w:r w:rsidR="00176081" w:rsidRP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2</w:t>
      </w:r>
      <w:r w:rsidR="009F4042" w:rsidRP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3</w:t>
      </w:r>
      <w:r w:rsidRP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году бюджетная и налоговая политика Миасского городского округа была направлена на </w:t>
      </w:r>
      <w:r w:rsidR="00176081" w:rsidRP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повышение эффективности и качества управления муниципальными финансами, повышение уровня собственных доходов и результативности бюджетных расходов.</w:t>
      </w:r>
    </w:p>
    <w:p w:rsidR="00DE3937" w:rsidRPr="00B42FF3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</w:pPr>
      <w:r w:rsidRPr="00B42FF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Общий объем поступлений доходов бюджета Округа за 20</w:t>
      </w:r>
      <w:r w:rsidR="0082433E" w:rsidRPr="00B42FF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="00B33D0A" w:rsidRPr="00B42FF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3</w:t>
      </w:r>
      <w:r w:rsidRPr="00B42FF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год </w:t>
      </w:r>
      <w:r w:rsidR="00DE3937" w:rsidRPr="00B42FF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составил</w:t>
      </w:r>
      <w:r w:rsidRPr="00B42FF3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="00210561"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7</w:t>
      </w:r>
      <w:r w:rsidR="00F27B4B"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млрд.</w:t>
      </w:r>
      <w:r w:rsidR="00F27B4B"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9</w:t>
      </w:r>
      <w:r w:rsidR="00B42FF3"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26</w:t>
      </w:r>
      <w:r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,</w:t>
      </w:r>
      <w:r w:rsidR="00942553"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8</w:t>
      </w:r>
      <w:r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млн. рублей, при уточненных бюджетных назначениях </w:t>
      </w:r>
      <w:r w:rsidR="00B42FF3"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7</w:t>
      </w:r>
      <w:r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млрд. </w:t>
      </w:r>
      <w:r w:rsidR="00B42FF3" w:rsidRPr="0023485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944</w:t>
      </w:r>
      <w:r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,</w:t>
      </w:r>
      <w:r w:rsidR="00B42FF3" w:rsidRPr="0023485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5</w:t>
      </w:r>
      <w:r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млн. рублей, или </w:t>
      </w:r>
      <w:r w:rsidR="00F27B4B"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на 99,</w:t>
      </w:r>
      <w:r w:rsidR="00B42FF3" w:rsidRPr="0023485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8</w:t>
      </w:r>
      <w:r w:rsidR="00F27B4B"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B42FF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  <w:t>%.</w:t>
      </w:r>
    </w:p>
    <w:p w:rsidR="0079173C" w:rsidRPr="00633715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23485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Доходная часть бюджета </w:t>
      </w:r>
      <w:r w:rsidR="00E86B2A" w:rsidRPr="0023485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</w:t>
      </w:r>
      <w:r w:rsidRPr="0023485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круга сформирована на </w:t>
      </w:r>
      <w:r w:rsidR="0023485C" w:rsidRPr="0023485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65</w:t>
      </w:r>
      <w:r w:rsidR="007F4E3D" w:rsidRPr="0023485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23485C" w:rsidRPr="0023485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Pr="0023485C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%</w:t>
      </w:r>
      <w:r w:rsidRPr="0023485C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за </w:t>
      </w:r>
      <w:r w:rsidRPr="0063371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счет безвозмездных поступлений, а также  поступлений налоговых и неналоговых доходов на </w:t>
      </w:r>
      <w:r w:rsidR="0023485C"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34</w:t>
      </w:r>
      <w:r w:rsidR="007F4E3D"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23485C"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8</w:t>
      </w:r>
      <w:r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%.</w:t>
      </w:r>
    </w:p>
    <w:p w:rsidR="00DB7687" w:rsidRPr="00633715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63371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Безвозмездные посту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пления в бюджет Округа получены</w:t>
      </w:r>
      <w:r w:rsidRPr="0063371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в объеме </w:t>
      </w:r>
      <w:r w:rsidR="007F4E3D"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5</w:t>
      </w:r>
      <w:r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</w:t>
      </w:r>
      <w:r w:rsidR="00633715"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168</w:t>
      </w:r>
      <w:r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633715"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8</w:t>
      </w:r>
      <w:r w:rsidRPr="0063371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Pr="0063371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в том числе:</w:t>
      </w:r>
    </w:p>
    <w:p w:rsidR="00DB7687" w:rsidRPr="00C80F18" w:rsidRDefault="00DB7687" w:rsidP="00A521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proofErr w:type="gramStart"/>
      <w:r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- из областного бюджета (с учетом возвратов) в сумме</w:t>
      </w:r>
      <w:r w:rsidR="00DE3937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9F404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             </w:t>
      </w:r>
      <w:r w:rsidR="003B08E8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813E47" w:rsidRPr="00C80F1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5</w:t>
      </w:r>
      <w:r w:rsidR="003B08E8" w:rsidRPr="00C80F1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</w:t>
      </w:r>
      <w:r w:rsidR="00DE3937" w:rsidRPr="00C80F1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</w:t>
      </w:r>
      <w:r w:rsidR="00633715" w:rsidRPr="00C80F1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166,0</w:t>
      </w:r>
      <w:r w:rsidR="003B08E8" w:rsidRPr="00C80F1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="003B08E8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(дотации – </w:t>
      </w:r>
      <w:r w:rsidR="00C80F18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 млрд.138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C80F18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</w:t>
      </w:r>
      <w:r w:rsidR="00081AF4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</w:t>
      </w:r>
      <w:r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. рублей, субсидии </w:t>
      </w:r>
      <w:r w:rsidR="00C80F18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813E47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</w:t>
      </w:r>
      <w:r w:rsidR="0010386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44,</w:t>
      </w:r>
      <w:r w:rsidR="00C80F18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813E47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млн. рублей</w:t>
      </w:r>
      <w:r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субвенции – </w:t>
      </w:r>
      <w:r w:rsidR="00081AF4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 млрд.</w:t>
      </w:r>
      <w:r w:rsidR="00813E47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="00C80F18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65,0</w:t>
      </w:r>
      <w:r w:rsidR="00081AF4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иные межбюджетные трансферты – </w:t>
      </w:r>
      <w:r w:rsidR="00C80F18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218</w:t>
      </w:r>
      <w:r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C80F18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6E0F14"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млн</w:t>
      </w:r>
      <w:r w:rsidRPr="00C80F1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 рублей);</w:t>
      </w:r>
      <w:proofErr w:type="gramEnd"/>
    </w:p>
    <w:p w:rsidR="00DB7687" w:rsidRPr="009F4042" w:rsidRDefault="00DB7687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63371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от негосударственных организаций в сумме </w:t>
      </w:r>
      <w:r w:rsidR="00633715" w:rsidRPr="009F404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="006E0F14" w:rsidRPr="009F404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633715" w:rsidRPr="009F404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5</w:t>
      </w:r>
      <w:r w:rsidR="006E0F14" w:rsidRPr="009F404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</w:t>
      </w:r>
      <w:r w:rsidRPr="009F404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. рублей;</w:t>
      </w:r>
    </w:p>
    <w:p w:rsidR="00DB7687" w:rsidRPr="00831BBD" w:rsidRDefault="004842BB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</w:t>
      </w:r>
      <w:r w:rsidR="00DB7687" w:rsidRPr="00831B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прочи</w:t>
      </w:r>
      <w:r w:rsidR="009B19AF" w:rsidRPr="00831B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е</w:t>
      </w:r>
      <w:r w:rsidR="00DB7687" w:rsidRPr="00831B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поступлени</w:t>
      </w:r>
      <w:r w:rsidR="009B19AF" w:rsidRPr="00831B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я</w:t>
      </w:r>
      <w:r w:rsidR="00DB7687" w:rsidRPr="00831BB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в сумме </w:t>
      </w:r>
      <w:r w:rsidR="006E0F14" w:rsidRPr="009F404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0,</w:t>
      </w:r>
      <w:r w:rsidR="00831BBD" w:rsidRPr="009F404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3</w:t>
      </w:r>
      <w:r w:rsidR="006E0F14" w:rsidRPr="009F404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</w:t>
      </w:r>
      <w:r w:rsidR="00DB7687" w:rsidRPr="009F4042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рублей.</w:t>
      </w:r>
    </w:p>
    <w:p w:rsidR="0079173C" w:rsidRPr="00E641B4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Налоговых и неналоговых доходов за 20</w:t>
      </w:r>
      <w:r w:rsidR="00693013"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="00E35942"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3</w:t>
      </w:r>
      <w:r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год поступило в бюджет Округа </w:t>
      </w:r>
      <w:r w:rsidR="00221E8D"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</w:t>
      </w:r>
      <w:r w:rsidR="00E35942"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758</w:t>
      </w:r>
      <w:r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E35942"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0</w:t>
      </w:r>
      <w:r w:rsidRPr="00E641B4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при годовых уточненных бюджетных назначениях </w:t>
      </w:r>
      <w:r w:rsidR="00221E8D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 </w:t>
      </w:r>
      <w:r w:rsidR="00E35942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712</w:t>
      </w:r>
      <w:r w:rsidR="00396B13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E35942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млн. рублей, или 10</w:t>
      </w:r>
      <w:r w:rsidR="00E35942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E35942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 По сравнению с 20</w:t>
      </w:r>
      <w:r w:rsidR="0012649A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E641B4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годом поступления увеличились на </w:t>
      </w:r>
      <w:r w:rsidR="00467674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21</w:t>
      </w:r>
      <w:r w:rsidR="00E641B4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,4</w:t>
      </w:r>
      <w:r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%, или </w:t>
      </w:r>
      <w:r w:rsidR="00467674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="00E641B4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86</w:t>
      </w:r>
      <w:r w:rsidR="00467674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E641B4"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Pr="00E641B4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</w:p>
    <w:p w:rsidR="00BB0248" w:rsidRPr="005E2E68" w:rsidRDefault="0079173C" w:rsidP="00603CAB">
      <w:pPr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10386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Налоговые доходы поступили в </w:t>
      </w:r>
      <w:r w:rsidRPr="005E2E6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объеме </w:t>
      </w:r>
      <w:r w:rsidR="0096232B" w:rsidRPr="005E2E6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2</w:t>
      </w:r>
      <w:r w:rsidRPr="005E2E6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млрд. </w:t>
      </w:r>
      <w:r w:rsidR="005E2E68" w:rsidRPr="005E2E6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471</w:t>
      </w:r>
      <w:r w:rsidRPr="005E2E6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,</w:t>
      </w:r>
      <w:r w:rsidR="005E2E68" w:rsidRPr="005E2E6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3</w:t>
      </w:r>
      <w:r w:rsidRPr="005E2E68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 млн. рублей</w:t>
      </w:r>
      <w:r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или </w:t>
      </w:r>
      <w:r w:rsidR="005E2E68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99</w:t>
      </w:r>
      <w:r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5E2E68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</w:t>
      </w:r>
      <w:r w:rsidR="00197A88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% </w:t>
      </w:r>
      <w:r w:rsidR="009B19AF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от</w:t>
      </w:r>
      <w:r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уточненны</w:t>
      </w:r>
      <w:r w:rsidR="009B19AF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х</w:t>
      </w:r>
      <w:r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бюджетны</w:t>
      </w:r>
      <w:r w:rsidR="009B19AF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х</w:t>
      </w:r>
      <w:r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назначени</w:t>
      </w:r>
      <w:r w:rsidR="009B19AF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й в сумме</w:t>
      </w:r>
    </w:p>
    <w:p w:rsidR="003901F5" w:rsidRPr="009063AD" w:rsidRDefault="005E2E68" w:rsidP="000F750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79173C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млрд. </w:t>
      </w:r>
      <w:r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476</w:t>
      </w:r>
      <w:r w:rsidR="0079173C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</w:t>
      </w:r>
      <w:r w:rsidR="0079173C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  <w:r w:rsidR="00C600E0" w:rsidRPr="009063A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proofErr w:type="gramStart"/>
      <w:r w:rsidR="00C600E0" w:rsidRPr="00E270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Не дополучено 5,3 млн. рублей, в основном, в результате поднятия переплаты по налогам на единый налоговый счет, в соответствии с применением с 01.01.2023 года </w:t>
      </w:r>
      <w:r w:rsidR="00927633" w:rsidRPr="0092763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единого налогового платежа</w:t>
      </w:r>
      <w:r w:rsidR="00C600E0" w:rsidRPr="00927633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 а также</w:t>
      </w:r>
      <w:r w:rsidR="00C600E0" w:rsidRPr="00E270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отсутствием поступлений в бюджет Округа штрафных санкций по налогам, в соответствии с 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изменениями принятыми Бюджетным</w:t>
      </w:r>
      <w:r w:rsidR="00C600E0" w:rsidRPr="00E270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Кодексом РФ 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с 01.01.2023 года (п.11 ст.46) в части изменения </w:t>
      </w:r>
      <w:r w:rsidR="00C600E0" w:rsidRPr="00E270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порядка зачислений в бюджеты</w:t>
      </w:r>
      <w:proofErr w:type="gramEnd"/>
      <w:r w:rsidR="00C600E0" w:rsidRPr="00E270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 сумм штрафных санкций, согласно </w:t>
      </w:r>
      <w:proofErr w:type="gramStart"/>
      <w:r w:rsidR="00C600E0" w:rsidRPr="00E270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которому</w:t>
      </w:r>
      <w:proofErr w:type="gramEnd"/>
      <w:r w:rsidR="00C600E0" w:rsidRPr="00E270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пени по налогам не зачисляются в местные бюджеты с 01.01.2023 года.</w:t>
      </w:r>
      <w:r w:rsidR="00E27068" w:rsidRPr="009063A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</w:p>
    <w:p w:rsidR="0079173C" w:rsidRPr="009063AD" w:rsidRDefault="00E27068" w:rsidP="009063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Рост налоговых доходов по отношению к уровню 2022 года составил 20,9%, или 427,7 млн. рублей</w:t>
      </w:r>
      <w:r w:rsid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79173C" w:rsidRPr="005E2E68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79173C"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среди них:</w:t>
      </w:r>
    </w:p>
    <w:p w:rsidR="0079173C" w:rsidRPr="003901F5" w:rsidRDefault="0079173C" w:rsidP="009063A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на </w:t>
      </w:r>
      <w:r w:rsidR="003901F5"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404</w:t>
      </w:r>
      <w:r w:rsidR="00D23199"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3901F5"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 больше уровня 20</w:t>
      </w:r>
      <w:r w:rsidR="005A7680"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3901F5"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</w:t>
      </w:r>
      <w:r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поступил </w:t>
      </w:r>
      <w:r w:rsidRPr="009063AD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налог на доходы физических лиц</w:t>
      </w:r>
      <w:r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 что обусловлено ростом фонда </w:t>
      </w:r>
      <w:r w:rsidRPr="003901F5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lastRenderedPageBreak/>
        <w:t>начисленной заработной платы в крупных и средних предприятиях Округа;</w:t>
      </w:r>
    </w:p>
    <w:p w:rsidR="005D5C56" w:rsidRPr="005D5C56" w:rsidRDefault="0079173C" w:rsidP="005D5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- </w:t>
      </w:r>
      <w:r w:rsidR="0082116F"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 </w:t>
      </w:r>
      <w:r w:rsidR="003901F5"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25</w:t>
      </w:r>
      <w:r w:rsidR="00754151"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3901F5"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3</w:t>
      </w:r>
      <w:r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3673C2"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больше уровня 20</w:t>
      </w:r>
      <w:r w:rsidR="00F732CA"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3901F5"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</w:t>
      </w:r>
      <w:r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поступил </w:t>
      </w:r>
      <w:r w:rsidR="004842BB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налог, </w:t>
      </w:r>
      <w:r w:rsidR="000C41C8" w:rsidRPr="005D5C56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взима</w:t>
      </w:r>
      <w:r w:rsidRPr="005D5C56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</w:rPr>
        <w:t>емый в связи с применением упрощённой системы налогообложения</w:t>
      </w:r>
      <w:r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5D5C56"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в связи с увеличением объема поступлений по ряду плательщиков,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а также увеличением количества </w:t>
      </w:r>
      <w:r w:rsidR="005D5C56" w:rsidRPr="005D5C56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налогоплательщиков. </w:t>
      </w:r>
    </w:p>
    <w:p w:rsidR="00BD1A8E" w:rsidRPr="0060666A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Неналоговые доходы поступили в объеме </w:t>
      </w:r>
      <w:r w:rsidR="009E2B55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60666A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86</w:t>
      </w:r>
      <w:r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9E2B55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рублей, или на </w:t>
      </w:r>
      <w:r w:rsidR="00124913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="0060666A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21</w:t>
      </w:r>
      <w:r w:rsidR="00124913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60666A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</w:t>
      </w:r>
      <w:r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к ут</w:t>
      </w:r>
      <w:r w:rsidR="004842B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очненным бюджетным назначениям </w:t>
      </w:r>
      <w:r w:rsidR="0060666A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236</w:t>
      </w:r>
      <w:r w:rsidR="00D63E35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60666A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</w:t>
      </w:r>
      <w:r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 </w:t>
      </w:r>
      <w:r w:rsidR="00D63E35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Перевыполнено</w:t>
      </w:r>
      <w:r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доходов на сумму на сумму </w:t>
      </w:r>
      <w:r w:rsidR="0060666A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50</w:t>
      </w:r>
      <w:r w:rsidR="002145DB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60666A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6</w:t>
      </w:r>
      <w:r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</w:t>
      </w:r>
      <w:r w:rsidR="009D7B78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</w:t>
      </w:r>
      <w:r w:rsidR="002145DB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85101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Рост</w:t>
      </w:r>
      <w:r w:rsidR="00793F6B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к уровню </w:t>
      </w:r>
      <w:r w:rsidR="00B76564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20</w:t>
      </w:r>
      <w:r w:rsidR="009D7B78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60666A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B76564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</w:t>
      </w:r>
      <w:r w:rsidR="009D7B78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а</w:t>
      </w:r>
      <w:r w:rsidR="00B76564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9D7B78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состав</w:t>
      </w:r>
      <w:r w:rsidR="0085101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ил</w:t>
      </w:r>
      <w:r w:rsidR="009D7B78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="0060666A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25,9</w:t>
      </w:r>
      <w:r w:rsidR="00793F6B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%.</w:t>
      </w:r>
      <w:r w:rsidR="009D7B78" w:rsidRPr="0060666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</w:p>
    <w:p w:rsidR="0079173C" w:rsidRPr="000E6639" w:rsidRDefault="0079173C" w:rsidP="00603CAB">
      <w:pPr>
        <w:tabs>
          <w:tab w:val="left" w:pos="284"/>
          <w:tab w:val="left" w:pos="567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</w:pPr>
      <w:r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Объем недоимки по налоговым доходам и задолженност</w:t>
      </w:r>
      <w:r w:rsidR="00812E68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и по неналоговым доходам </w:t>
      </w:r>
      <w:r w:rsidR="00FB128B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(реальной к взысканию) </w:t>
      </w:r>
      <w:r w:rsidR="00812E68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на </w:t>
      </w:r>
      <w:r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01.01.20</w:t>
      </w:r>
      <w:r w:rsidR="003C04FA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B33D0A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4</w:t>
      </w:r>
      <w:r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со</w:t>
      </w:r>
      <w:r w:rsidR="0085101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храняется высоким и составляет </w:t>
      </w:r>
      <w:r w:rsidR="00D25470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210</w:t>
      </w:r>
      <w:r w:rsidR="00AA16D5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,</w:t>
      </w:r>
      <w:r w:rsidR="00D25470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0</w:t>
      </w:r>
      <w:r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млн. рублей.</w:t>
      </w:r>
      <w:r w:rsidR="005F1357" w:rsidRPr="000E66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1357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Рост задолженности к уровню 202</w:t>
      </w:r>
      <w:r w:rsidR="00D25470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</w:t>
      </w:r>
      <w:r w:rsidR="005F1357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года составил </w:t>
      </w:r>
      <w:r w:rsidR="00D25470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14</w:t>
      </w:r>
      <w:r w:rsidR="005F1357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,7%, или </w:t>
      </w:r>
      <w:r w:rsidR="00851011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27,0</w:t>
      </w:r>
      <w:r w:rsidR="00D25470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млн</w:t>
      </w:r>
      <w:r w:rsidR="005F1357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 рублей</w:t>
      </w:r>
      <w:r w:rsidR="00B4700F" w:rsidRPr="000E6639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</w:t>
      </w:r>
    </w:p>
    <w:p w:rsidR="0079173C" w:rsidRPr="001F7F2B" w:rsidRDefault="00DF3646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4381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Расходная часть бюджета Миасского городского округа </w:t>
      </w:r>
      <w:r w:rsidR="00176081" w:rsidRPr="00A4381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исполнена в сумме </w:t>
      </w:r>
      <w:r w:rsidR="00A632E7" w:rsidRPr="00A4381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="00176081" w:rsidRPr="00A4381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A4381C" w:rsidRPr="00A4381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701,3</w:t>
      </w:r>
      <w:r w:rsidR="00176081" w:rsidRPr="00A4381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 при уточненном бюджете Округа на </w:t>
      </w:r>
      <w:r w:rsidR="00176081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202</w:t>
      </w:r>
      <w:r w:rsidR="00A4381C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="00176081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 в сумме </w:t>
      </w:r>
      <w:r w:rsidR="00A4381C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="00176081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A4381C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927,7 млн. рублей, или 97</w:t>
      </w:r>
      <w:r w:rsidR="00176081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</w:t>
      </w:r>
      <w:r w:rsidR="00A4381C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</w:t>
      </w:r>
      <w:r w:rsidR="00176081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%.</w:t>
      </w:r>
      <w:r w:rsidR="0079173C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 в том числе:</w:t>
      </w:r>
    </w:p>
    <w:p w:rsidR="0079173C" w:rsidRPr="001F7F2B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</w:t>
      </w:r>
      <w:r w:rsid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</w:t>
      </w:r>
      <w:r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переданны</w:t>
      </w:r>
      <w:r w:rsid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государственны</w:t>
      </w:r>
      <w:r w:rsid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полномочия</w:t>
      </w:r>
      <w:r w:rsid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в сумме  2 млрд. </w:t>
      </w:r>
      <w:r w:rsidR="001F7F2B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765,2</w:t>
      </w:r>
      <w:r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(9</w:t>
      </w:r>
      <w:r w:rsidR="001F7F2B"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8,8</w:t>
      </w:r>
      <w:r w:rsidRPr="001F7F2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уточненного бюджета Округа);</w:t>
      </w:r>
    </w:p>
    <w:p w:rsidR="00BB0248" w:rsidRPr="00277B2E" w:rsidRDefault="0079173C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</w:t>
      </w:r>
      <w:r w:rsid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</w:t>
      </w:r>
      <w:r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собственны</w:t>
      </w:r>
      <w:r w:rsid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полномочия</w:t>
      </w:r>
      <w:r w:rsid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</w:t>
      </w:r>
      <w:r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в сумме </w:t>
      </w:r>
      <w:r w:rsidR="00277B2E"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млрд. </w:t>
      </w:r>
      <w:r w:rsidR="00277B2E"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936,1</w:t>
      </w:r>
      <w:r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(</w:t>
      </w:r>
      <w:r w:rsidR="00152E3E"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9</w:t>
      </w:r>
      <w:r w:rsidR="00277B2E"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6,2</w:t>
      </w:r>
      <w:r w:rsidRPr="00277B2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 от уточненного бюджета Округа).</w:t>
      </w:r>
    </w:p>
    <w:p w:rsidR="00673A98" w:rsidRDefault="00277B2E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Снижение расходов  к уровню  2022 года составило 3,6% или 62,0 млн. рублей. </w:t>
      </w:r>
    </w:p>
    <w:p w:rsidR="0079173C" w:rsidRPr="00817757" w:rsidRDefault="008A15F6" w:rsidP="00603CA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Исполнение бюджета Округа осуществлялось по казначейской системе.</w:t>
      </w:r>
      <w:r w:rsidR="0079173C"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1B358C" w:rsidRPr="00817757" w:rsidRDefault="00EA66AE" w:rsidP="00603CAB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Бюджет Миасского городского округа сохраняет свою социальную направленность. </w:t>
      </w:r>
    </w:p>
    <w:p w:rsidR="00324BE9" w:rsidRDefault="00276234" w:rsidP="00324BE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6009B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Расходы на социальную </w:t>
      </w:r>
      <w:r w:rsidRPr="0081775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сферу </w:t>
      </w:r>
      <w:r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 202</w:t>
      </w:r>
      <w:r w:rsidR="00817757"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году составили  5млрд.</w:t>
      </w:r>
      <w:r w:rsidR="00817757"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544,6</w:t>
      </w:r>
      <w:r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рублей, или  7</w:t>
      </w:r>
      <w:r w:rsidR="00817757"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,0% от общего объема расходов. Доля расходов на финансирование социальной сферы в 202</w:t>
      </w:r>
      <w:r w:rsidR="00817757"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году составляла </w:t>
      </w:r>
      <w:r w:rsidR="00817757"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7</w:t>
      </w:r>
      <w:r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3 %, или </w:t>
      </w:r>
      <w:r w:rsidR="00817757"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Pr="00817757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млрд.</w:t>
      </w:r>
      <w:r w:rsidR="00817757" w:rsidRPr="00324BE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831,9</w:t>
      </w:r>
      <w:r w:rsidRPr="00324BE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млн. рублей в общей сумме расходов бюджета Округа. </w:t>
      </w:r>
    </w:p>
    <w:p w:rsidR="00673A98" w:rsidRDefault="00673A98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Основные причины снижения доли расходов: выделение в 2022 году субсидии из областного бюджета на выкуп здания для размещения новой общеобразовательной  организации МАОУ «Образовательный центр» в сумме 859,0 млн. рублей и передача части государственных полномочий на областной бюджет (в том числе на обеспечение государственных полномочий по социальному </w:t>
      </w:r>
      <w:r w:rsidRPr="00673A9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обслуживанию граждан – содержание учреждений социального обслуживания населения).</w:t>
      </w:r>
      <w:proofErr w:type="gramEnd"/>
    </w:p>
    <w:p w:rsidR="00276234" w:rsidRPr="007C2484" w:rsidRDefault="00276234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545BF1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На расходы в сфере экономики </w:t>
      </w:r>
      <w:r w:rsidRPr="00545BF1">
        <w:rPr>
          <w:rFonts w:ascii="Times New Roman" w:eastAsia="Times New Roman" w:hAnsi="Times New Roman" w:cs="Times New Roman"/>
          <w:spacing w:val="20"/>
          <w:sz w:val="28"/>
          <w:szCs w:val="28"/>
        </w:rPr>
        <w:t>(жилищно-коммунальное хозяйство, транспорт, дорожное хозяйство, и т.д</w:t>
      </w:r>
      <w:r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>.) направлено 1млрд.</w:t>
      </w:r>
      <w:r w:rsidR="007C2484"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>767,7</w:t>
      </w:r>
      <w:r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>млн. рублей, или 22,</w:t>
      </w:r>
      <w:r w:rsidR="007C2484"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>9</w:t>
      </w:r>
      <w:r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% от общего объема расходов. В 202</w:t>
      </w:r>
      <w:r w:rsidR="007C2484"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>2</w:t>
      </w:r>
      <w:r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году данные показатели составляли соответственно 1млрд.</w:t>
      </w:r>
      <w:r w:rsidR="007C2484"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>803,4</w:t>
      </w:r>
      <w:r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млн. рублей  и </w:t>
      </w:r>
      <w:r w:rsidR="007C2484"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>22,6</w:t>
      </w:r>
      <w:r w:rsidRPr="007C248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%. </w:t>
      </w:r>
    </w:p>
    <w:p w:rsidR="00EA1357" w:rsidRDefault="00EA1357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EA135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Основная причина уменьшения объема расходов по данному направлению в 2023 году – выделение межбюджетных трансфертов на обеспечение мероприятий  по переселению граждан из аварийного жилищного фонда в меньшем объеме. </w:t>
      </w:r>
    </w:p>
    <w:p w:rsidR="00BB0248" w:rsidRPr="00EA2396" w:rsidRDefault="00BB0248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По состоянию на 01.01.202</w:t>
      </w:r>
      <w:r w:rsidR="00EA2396"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4</w:t>
      </w:r>
      <w:r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года муниципальный долг отсутствует. Гарантии и поручительства в 202</w:t>
      </w:r>
      <w:r w:rsidR="00EA2396"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3</w:t>
      </w:r>
      <w:r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году не предоставлялись.</w:t>
      </w:r>
    </w:p>
    <w:p w:rsidR="00BB0248" w:rsidRPr="00EA2396" w:rsidRDefault="00BB0248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Бюджетная обеспеченность на одного жителя в отчетном году составила 4</w:t>
      </w:r>
      <w:r w:rsidR="00EA2396"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7</w:t>
      </w:r>
      <w:r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,</w:t>
      </w:r>
      <w:r w:rsidR="00EA2396"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8</w:t>
      </w:r>
      <w:r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тыс. рублей (в 202</w:t>
      </w:r>
      <w:r w:rsidR="00EA2396"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2</w:t>
      </w:r>
      <w:r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году – </w:t>
      </w:r>
      <w:r w:rsidR="00EA2396"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48,4</w:t>
      </w:r>
      <w:r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тыс. рублей).</w:t>
      </w:r>
    </w:p>
    <w:p w:rsidR="008A15F6" w:rsidRPr="00C26F6A" w:rsidRDefault="008A15F6" w:rsidP="008A15F6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EA2396">
        <w:rPr>
          <w:rFonts w:ascii="Times New Roman" w:eastAsia="Times New Roman" w:hAnsi="Times New Roman" w:cs="Times New Roman"/>
          <w:spacing w:val="20"/>
          <w:sz w:val="28"/>
          <w:szCs w:val="28"/>
        </w:rPr>
        <w:t>В течение отчетного периода  информация об исполнении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бюджета регулярно предоставлялась в Собрание депутатов Миасского городского округа и Контрольно-счетную палату </w:t>
      </w:r>
      <w:r w:rsidR="00673A98">
        <w:rPr>
          <w:rFonts w:ascii="Times New Roman" w:eastAsia="Times New Roman" w:hAnsi="Times New Roman" w:cs="Times New Roman"/>
          <w:spacing w:val="20"/>
          <w:sz w:val="28"/>
          <w:szCs w:val="28"/>
        </w:rPr>
        <w:t>Челябинской области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. На постоянной основе проводились мероприятия по обеспечению доступности бюджетных данных дл</w:t>
      </w:r>
      <w:r w:rsidR="00C26F6A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я жителей Округа. В течение 2023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года на официальном сайте Администрации Миасского городского округа, в официальных периодических изданиях и в информационно-телекоммуникационной сети «Интернет» размещались</w:t>
      </w:r>
      <w:r w:rsidR="00505508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: 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проекты решений о внесении изменений в бюджет Округа за отчетный период; информаци</w:t>
      </w:r>
      <w:r w:rsidR="00505508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и об исполнении бюджета Миасского городского округа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; </w:t>
      </w:r>
      <w:r w:rsidR="00505508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брошюры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«Бюджет для граждан» об исполнении бюджета Миасского городского округа за 202</w:t>
      </w:r>
      <w:r w:rsidR="00C26F6A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2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 и к проекту бюджета Миас</w:t>
      </w:r>
      <w:r w:rsidR="00C26F6A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ского городского округа  на 2024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 и плановый период 202</w:t>
      </w:r>
      <w:r w:rsidR="00C26F6A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5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и 202</w:t>
      </w:r>
      <w:r w:rsidR="00C26F6A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6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годов. Кроме того, в целях учета мнения жителей Округа, проводились опросы по содержанию и структуре  брошюры «Бюджет для граждан».</w:t>
      </w:r>
    </w:p>
    <w:p w:rsidR="0079173C" w:rsidRPr="00C26F6A" w:rsidRDefault="0079173C" w:rsidP="00276234">
      <w:pPr>
        <w:widowControl w:val="0"/>
        <w:shd w:val="clear" w:color="auto" w:fill="FFFFFF"/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</w:pPr>
      <w:r w:rsidRPr="00C26F6A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</w:rPr>
        <w:t>Участники публичных слушаний рекомендуют:</w:t>
      </w:r>
    </w:p>
    <w:p w:rsidR="0079173C" w:rsidRPr="00C26F6A" w:rsidRDefault="0079173C" w:rsidP="00603CA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75" w:right="57" w:firstLine="634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Собранию депутатов Миасского городского округа рассмотреть проект решения «Об исполнении бюджета Миасского городского округа за 20</w:t>
      </w:r>
      <w:r w:rsidR="008B78EB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2</w:t>
      </w:r>
      <w:r w:rsidR="00700F8E" w:rsidRPr="00700F8E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3</w:t>
      </w:r>
      <w:r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год» 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и принять его.</w:t>
      </w:r>
    </w:p>
    <w:p w:rsidR="0079173C" w:rsidRPr="00C26F6A" w:rsidRDefault="0079173C" w:rsidP="00603CAB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uto"/>
        <w:ind w:left="142" w:right="57"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Администрации Миасского городского округа продолжить работу: </w:t>
      </w:r>
    </w:p>
    <w:p w:rsidR="0079173C" w:rsidRPr="00C26F6A" w:rsidRDefault="0079173C" w:rsidP="00603CA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привлечению в бюджет Миасского городского округа средств из вышестоящих бюджетов для дополнительного 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lastRenderedPageBreak/>
        <w:t xml:space="preserve">финансирования приоритетных направлений социально-экономического развития; </w:t>
      </w:r>
    </w:p>
    <w:p w:rsidR="00342DE6" w:rsidRPr="00C26F6A" w:rsidRDefault="00342DE6" w:rsidP="00603CAB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88" w:lineRule="auto"/>
        <w:ind w:left="0"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по </w:t>
      </w:r>
      <w:proofErr w:type="gramStart"/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контролю за</w:t>
      </w:r>
      <w:proofErr w:type="gramEnd"/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обеспечением завершения строительства и ввода в эксплуатацию объектов капитально строительства;</w:t>
      </w:r>
    </w:p>
    <w:p w:rsidR="00342DE6" w:rsidRPr="00C26F6A" w:rsidRDefault="00E6791A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3</w:t>
      </w:r>
      <w:r w:rsidR="0079173C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)</w:t>
      </w:r>
      <w:r w:rsidR="0079173C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межведомственных комиссий по </w:t>
      </w:r>
      <w:r w:rsidR="00342DE6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обеспечению полноты и своевременности поступлений налогов, сборов в бюджет Округа, сокращения задолженности организаций по налогам и сборам в бюджетную систему Российской Федерации, а также по координации действий по работе с организациями, имеющими неудовлетворительные экономические показатели</w:t>
      </w:r>
      <w:r w:rsidR="008E147C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</w:p>
    <w:p w:rsidR="00342DE6" w:rsidRPr="00C26F6A" w:rsidRDefault="0079173C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3.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 xml:space="preserve">Главным администраторам доходов бюджета Округа повысить </w:t>
      </w:r>
      <w:r w:rsidR="00342DE6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уровень собираемости и качество 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прогноз</w:t>
      </w:r>
      <w:r w:rsidR="00342DE6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ирования поступления администрируемых доходов в бюджет Округа, а также продолжить работу по сокращению имеющейся задолженности и приняти</w:t>
      </w:r>
      <w:r w:rsidR="008A15F6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ю</w:t>
      </w:r>
      <w:r w:rsidR="00342DE6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своевременных мер по ее взысканию.</w:t>
      </w:r>
    </w:p>
    <w:p w:rsidR="00E227A7" w:rsidRPr="00C26F6A" w:rsidRDefault="0079173C" w:rsidP="00603CAB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4.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ab/>
        <w:t>Главным распорядителям средств бюджета Округа</w:t>
      </w:r>
      <w:r w:rsidR="00E227A7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: </w:t>
      </w:r>
    </w:p>
    <w:p w:rsidR="0079173C" w:rsidRPr="00C26F6A" w:rsidRDefault="0079173C" w:rsidP="00603CAB">
      <w:pPr>
        <w:widowControl w:val="0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1) </w:t>
      </w:r>
      <w:r w:rsidR="00E227A7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по 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осуществл</w:t>
      </w:r>
      <w:r w:rsidR="00E227A7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ению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контрол</w:t>
      </w:r>
      <w:r w:rsidR="00E227A7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>я</w:t>
      </w: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за</w:t>
      </w:r>
      <w:proofErr w:type="gramEnd"/>
      <w:r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достижением высоких показателей качества управления финансами и укрепления финансовой дисциплины;</w:t>
      </w:r>
    </w:p>
    <w:p w:rsidR="00722281" w:rsidRPr="00C26F6A" w:rsidRDefault="0072228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="0079173C"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) </w:t>
      </w:r>
      <w:r w:rsidR="00E227A7" w:rsidRPr="00C26F6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продолжить работу </w:t>
      </w:r>
      <w:r w:rsidR="00E227A7"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по </w:t>
      </w:r>
      <w:r w:rsidR="0079173C"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обеспеч</w:t>
      </w:r>
      <w:r w:rsidR="00031E2D"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ению </w:t>
      </w:r>
      <w:r w:rsidR="0079173C"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целево</w:t>
      </w:r>
      <w:r w:rsidR="00031E2D"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</w:t>
      </w:r>
      <w:r w:rsidR="0079173C"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использовани</w:t>
      </w:r>
      <w:r w:rsidR="00031E2D"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я </w:t>
      </w:r>
      <w:r w:rsidR="0079173C" w:rsidRPr="00C26F6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</w:t>
      </w:r>
      <w:r w:rsidR="0079173C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повыш</w:t>
      </w:r>
      <w:r w:rsidR="00031E2D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ению</w:t>
      </w:r>
      <w:r w:rsidR="0079173C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эффективность </w:t>
      </w:r>
      <w:r w:rsidR="00031E2D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расходования</w:t>
      </w:r>
      <w:r w:rsidR="00CE06B0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бюджетных средств, в том числе предусмотренных на реализацию национальных проектов</w:t>
      </w:r>
      <w:r w:rsidR="001B358C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;</w:t>
      </w:r>
    </w:p>
    <w:p w:rsidR="0079173C" w:rsidRPr="00C26F6A" w:rsidRDefault="00722281" w:rsidP="00603CAB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3) усилить контроль за выполнением учреждениями Округа </w:t>
      </w:r>
      <w:r w:rsidRPr="00C26F6A">
        <w:rPr>
          <w:rFonts w:ascii="Times New Roman" w:hAnsi="Times New Roman"/>
          <w:sz w:val="28"/>
          <w:szCs w:val="28"/>
          <w:lang w:eastAsia="ru-RU"/>
        </w:rPr>
        <w:t>муниципальных заданий на оказание муниципальных услуг</w:t>
      </w:r>
      <w:r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, в том числе за </w:t>
      </w:r>
      <w:proofErr w:type="gramStart"/>
      <w:r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достижением</w:t>
      </w:r>
      <w:proofErr w:type="gramEnd"/>
      <w:r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установленных в них показателей;</w:t>
      </w:r>
    </w:p>
    <w:p w:rsidR="00EF2156" w:rsidRPr="00C26F6A" w:rsidRDefault="00CE06B0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4</w:t>
      </w:r>
      <w:r w:rsidR="0079173C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) </w:t>
      </w:r>
      <w:r w:rsidR="00EF2156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не допускать</w:t>
      </w:r>
      <w:r w:rsidR="0079173C"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:</w:t>
      </w:r>
    </w:p>
    <w:p w:rsidR="0079173C" w:rsidRPr="00545BF1" w:rsidRDefault="00EF2156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C26F6A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- принятие новых</w:t>
      </w:r>
      <w:r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расходных обязатель</w:t>
      </w:r>
      <w:proofErr w:type="gramStart"/>
      <w:r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ств пр</w:t>
      </w:r>
      <w:proofErr w:type="gramEnd"/>
      <w:r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и отсутствии средств на финансирование действующих расходных обязательств;</w:t>
      </w:r>
      <w:r w:rsidR="0079173C"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</w:t>
      </w:r>
    </w:p>
    <w:p w:rsidR="00EF2156" w:rsidRPr="00545BF1" w:rsidRDefault="00EF2156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- </w:t>
      </w:r>
      <w:r w:rsidRPr="00545BF1">
        <w:rPr>
          <w:rFonts w:ascii="Times New Roman" w:eastAsia="Times New Roman" w:hAnsi="Times New Roman" w:cs="Times New Roman"/>
          <w:spacing w:val="20"/>
          <w:sz w:val="28"/>
          <w:szCs w:val="28"/>
        </w:rPr>
        <w:t>образования просроченной кредиторской задолженности по расходным обязательствам Округа</w:t>
      </w:r>
      <w:r w:rsidR="00722281" w:rsidRPr="00545BF1">
        <w:rPr>
          <w:rFonts w:ascii="Times New Roman" w:eastAsia="Times New Roman" w:hAnsi="Times New Roman" w:cs="Times New Roman"/>
          <w:spacing w:val="20"/>
          <w:sz w:val="28"/>
          <w:szCs w:val="28"/>
        </w:rPr>
        <w:t>, в первую очередь, по заработной плате работникам муниципальных учреждений;</w:t>
      </w:r>
    </w:p>
    <w:p w:rsidR="00722281" w:rsidRPr="00545BF1" w:rsidRDefault="00722281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545BF1">
        <w:rPr>
          <w:rFonts w:ascii="Times New Roman" w:eastAsia="Times New Roman" w:hAnsi="Times New Roman" w:cs="Times New Roman"/>
          <w:spacing w:val="20"/>
          <w:sz w:val="28"/>
          <w:szCs w:val="28"/>
        </w:rPr>
        <w:t>- принятие бюджетных обязательств в размерах, превышающих доведенные лимиты бюджетных обязательств;</w:t>
      </w:r>
    </w:p>
    <w:p w:rsidR="00722281" w:rsidRPr="00545BF1" w:rsidRDefault="00CE06B0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ab/>
        <w:t>5</w:t>
      </w:r>
      <w:r w:rsidR="00722281"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) обеспечить </w:t>
      </w:r>
      <w:r w:rsidR="00603CAB"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выполнение индикативных показателей</w:t>
      </w:r>
      <w:r w:rsidR="00722281"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средней заработной платы работников бюджетной сферы в соответствии с Указами Президента Российской Федерации от 07.05.2012 года</w:t>
      </w:r>
      <w:r w:rsidR="00603CAB"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и</w:t>
      </w:r>
      <w:r w:rsidR="00603CAB" w:rsidRPr="00545BF1">
        <w:t xml:space="preserve"> </w:t>
      </w:r>
      <w:r w:rsidR="00603CAB"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доведение заработной платы до минимального </w:t>
      </w:r>
      <w:proofErr w:type="gramStart"/>
      <w:r w:rsidR="00603CAB"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размера оплаты труда</w:t>
      </w:r>
      <w:proofErr w:type="gramEnd"/>
      <w:r w:rsidRPr="00545BF1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.</w:t>
      </w:r>
    </w:p>
    <w:p w:rsidR="00807611" w:rsidRPr="00440BC0" w:rsidRDefault="00807611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61218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5. Межрайонной ИФНС России </w:t>
      </w:r>
      <w:r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№ </w:t>
      </w:r>
      <w:r w:rsidR="00612181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3</w:t>
      </w:r>
      <w:r w:rsidR="0049157A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1</w:t>
      </w:r>
      <w:r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по Челябинской области продолжить работу по: </w:t>
      </w:r>
    </w:p>
    <w:p w:rsidR="003E7605" w:rsidRPr="00440BC0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ab/>
      </w:r>
      <w:r w:rsidR="00317ECF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1) </w:t>
      </w:r>
      <w:r w:rsidR="003E7605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обеспечению своевременного и в полном объеме поступления в бюджет Округа налогов и сборов;</w:t>
      </w:r>
    </w:p>
    <w:p w:rsidR="003E7605" w:rsidRPr="00440BC0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lastRenderedPageBreak/>
        <w:tab/>
      </w:r>
      <w:r w:rsidR="0049157A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2</w:t>
      </w:r>
      <w:r w:rsidR="00317ECF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) </w:t>
      </w:r>
      <w:r w:rsidR="003E7605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проведению комплексных мероприятий по легализации налоговой базы и объектов налогообложения, в том числе по легализации заработной платы, а также по сокращению неформальной занятости населения</w:t>
      </w:r>
      <w:r w:rsidR="00E65F1A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;</w:t>
      </w:r>
      <w:r w:rsidR="003E7605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</w:t>
      </w:r>
    </w:p>
    <w:p w:rsidR="00807611" w:rsidRPr="00440BC0" w:rsidRDefault="001B358C" w:rsidP="00603CAB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ab/>
      </w:r>
      <w:r w:rsidR="0049157A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3</w:t>
      </w:r>
      <w:r w:rsidR="00E65F1A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) </w:t>
      </w:r>
      <w:r w:rsidR="00807611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актуализации базы данных налоговых органов с целью обеспечения полноты и правильности исчисления имущественных налогов, а также уплаты физическими и юридическими лицами соответствующих налогов</w:t>
      </w:r>
      <w:r w:rsidR="00370218"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.</w:t>
      </w:r>
    </w:p>
    <w:p w:rsidR="0049157A" w:rsidRPr="00612181" w:rsidRDefault="0049157A" w:rsidP="0049157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</w:pPr>
      <w:r w:rsidRPr="00440BC0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6. Межрайонной ИФНС России № 32 по Челябинской</w:t>
      </w:r>
      <w:r w:rsidRPr="0061218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области</w:t>
      </w:r>
      <w:r w:rsidR="001C032B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="001C032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</w:t>
      </w:r>
      <w:r w:rsidR="001C032B" w:rsidRPr="001C032B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Центр по управлению долгом)</w:t>
      </w:r>
      <w:r w:rsidRPr="0061218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продолжить работу по</w:t>
      </w:r>
      <w:r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</w:t>
      </w:r>
      <w:r w:rsidRPr="0061218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реализации предусмотренных законодательством Российской Федерации </w:t>
      </w:r>
      <w:proofErr w:type="gramStart"/>
      <w:r w:rsidRPr="0061218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мер</w:t>
      </w:r>
      <w:proofErr w:type="gramEnd"/>
      <w:r w:rsidRPr="0061218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по обеспечению полноты взыскания имею</w:t>
      </w:r>
      <w:r w:rsidR="00D34A45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щейся задолженности по налогами</w:t>
      </w:r>
      <w:r w:rsidRPr="00612181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 xml:space="preserve"> сборам в бюджеты бюджетной системы Российской Федерации</w:t>
      </w:r>
      <w:r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  <w:lang w:eastAsia="ru-RU"/>
        </w:rPr>
        <w:t>.</w:t>
      </w:r>
    </w:p>
    <w:p w:rsidR="0079173C" w:rsidRDefault="0049157A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7</w:t>
      </w:r>
      <w:r w:rsidR="0079173C" w:rsidRPr="00E6791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.</w:t>
      </w:r>
      <w:r w:rsidRPr="00E6791A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</w:rPr>
        <w:t xml:space="preserve"> </w:t>
      </w:r>
      <w:r w:rsidR="0079173C" w:rsidRPr="00E6791A">
        <w:rPr>
          <w:rFonts w:ascii="Times New Roman" w:eastAsia="Times New Roman" w:hAnsi="Times New Roman" w:cs="Times New Roman"/>
          <w:bCs/>
          <w:color w:val="000000" w:themeColor="text1"/>
          <w:spacing w:val="20"/>
          <w:sz w:val="28"/>
          <w:szCs w:val="28"/>
        </w:rPr>
        <w:t xml:space="preserve">Руководителям организаций, индивидуальным предпринимателям и физическим лицам, являющимся налогоплательщиками на территории Миасского городского округа, </w:t>
      </w:r>
      <w:r w:rsidR="0079173C" w:rsidRPr="00E6791A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>обеспечивать своевременное и полное перечисление текущих платежей, а также погашение имеющейся задолженности по платежам в бюджетную систему Российской Федерации.</w:t>
      </w:r>
    </w:p>
    <w:p w:rsidR="00700F8E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en-US"/>
        </w:rPr>
      </w:pPr>
    </w:p>
    <w:p w:rsidR="00700F8E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en-US"/>
        </w:rPr>
      </w:pPr>
    </w:p>
    <w:p w:rsidR="00700F8E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en-US"/>
        </w:rPr>
      </w:pPr>
    </w:p>
    <w:p w:rsidR="00700F8E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en-US"/>
        </w:rPr>
      </w:pPr>
    </w:p>
    <w:p w:rsidR="00700F8E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en-US"/>
        </w:rPr>
      </w:pPr>
    </w:p>
    <w:p w:rsidR="00700F8E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en-US"/>
        </w:rPr>
      </w:pPr>
    </w:p>
    <w:p w:rsidR="00700F8E" w:rsidRPr="00700F8E" w:rsidRDefault="00700F8E" w:rsidP="0049157A">
      <w:pPr>
        <w:widowControl w:val="0"/>
        <w:shd w:val="clear" w:color="auto" w:fill="FFFFFF"/>
        <w:tabs>
          <w:tab w:val="left" w:pos="1134"/>
        </w:tabs>
        <w:spacing w:after="0" w:line="288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val="en-US"/>
        </w:rPr>
      </w:pPr>
      <w:bookmarkStart w:id="0" w:name="_GoBack"/>
      <w:bookmarkEnd w:id="0"/>
    </w:p>
    <w:p w:rsidR="00B607A4" w:rsidRPr="00E6791A" w:rsidRDefault="00B607A4" w:rsidP="0079173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</w:pPr>
    </w:p>
    <w:p w:rsidR="0079173C" w:rsidRPr="00E6791A" w:rsidRDefault="0079173C" w:rsidP="0079173C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</w:pPr>
      <w:r w:rsidRPr="00E6791A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г. Миасс                                         </w:t>
      </w:r>
      <w:r w:rsidR="00E227A7" w:rsidRPr="00E6791A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         </w:t>
      </w:r>
      <w:r w:rsidRPr="00E6791A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                               </w:t>
      </w:r>
      <w:r w:rsidR="00E168A6" w:rsidRPr="00E6791A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 </w:t>
      </w:r>
      <w:r w:rsidRPr="00E6791A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>20</w:t>
      </w:r>
      <w:r w:rsidR="00E168A6" w:rsidRPr="00E6791A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>2</w:t>
      </w:r>
      <w:r w:rsidR="00E6791A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>4</w:t>
      </w:r>
      <w:r w:rsidRPr="00E6791A">
        <w:rPr>
          <w:rFonts w:ascii="Times New Roman" w:eastAsia="Times New Roman" w:hAnsi="Times New Roman" w:cs="Times New Roman"/>
          <w:color w:val="000000" w:themeColor="text1"/>
          <w:spacing w:val="20"/>
          <w:sz w:val="26"/>
          <w:szCs w:val="26"/>
        </w:rPr>
        <w:t xml:space="preserve"> год</w:t>
      </w:r>
    </w:p>
    <w:p w:rsidR="004F7573" w:rsidRPr="00E6791A" w:rsidRDefault="004F7573">
      <w:pPr>
        <w:rPr>
          <w:color w:val="000000" w:themeColor="text1"/>
        </w:rPr>
      </w:pPr>
    </w:p>
    <w:sectPr w:rsidR="004F7573" w:rsidRPr="00E6791A" w:rsidSect="00B607A4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BF2"/>
    <w:multiLevelType w:val="hybridMultilevel"/>
    <w:tmpl w:val="8A987922"/>
    <w:lvl w:ilvl="0" w:tplc="DFEAC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3977"/>
    <w:multiLevelType w:val="hybridMultilevel"/>
    <w:tmpl w:val="1F380C60"/>
    <w:lvl w:ilvl="0" w:tplc="64B28E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74287"/>
    <w:multiLevelType w:val="hybridMultilevel"/>
    <w:tmpl w:val="F27C030E"/>
    <w:lvl w:ilvl="0" w:tplc="BF8AABF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1427B"/>
    <w:multiLevelType w:val="hybridMultilevel"/>
    <w:tmpl w:val="6D6E8A0E"/>
    <w:lvl w:ilvl="0" w:tplc="DFEAC0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A2778C7"/>
    <w:multiLevelType w:val="hybridMultilevel"/>
    <w:tmpl w:val="76A04984"/>
    <w:lvl w:ilvl="0" w:tplc="DFEAC0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73C"/>
    <w:rsid w:val="000005AE"/>
    <w:rsid w:val="00000825"/>
    <w:rsid w:val="00010F07"/>
    <w:rsid w:val="00014CAE"/>
    <w:rsid w:val="00031E2D"/>
    <w:rsid w:val="00061A0C"/>
    <w:rsid w:val="00067E67"/>
    <w:rsid w:val="000703F4"/>
    <w:rsid w:val="00081AF4"/>
    <w:rsid w:val="000A7933"/>
    <w:rsid w:val="000B11FD"/>
    <w:rsid w:val="000C41C8"/>
    <w:rsid w:val="000E6639"/>
    <w:rsid w:val="000F750B"/>
    <w:rsid w:val="00103865"/>
    <w:rsid w:val="00104324"/>
    <w:rsid w:val="00115C8E"/>
    <w:rsid w:val="00124913"/>
    <w:rsid w:val="0012649A"/>
    <w:rsid w:val="00141585"/>
    <w:rsid w:val="00152E3E"/>
    <w:rsid w:val="00153571"/>
    <w:rsid w:val="00176081"/>
    <w:rsid w:val="00197A88"/>
    <w:rsid w:val="001A780E"/>
    <w:rsid w:val="001B358C"/>
    <w:rsid w:val="001C032B"/>
    <w:rsid w:val="001D3DCE"/>
    <w:rsid w:val="001D3F1C"/>
    <w:rsid w:val="001E0779"/>
    <w:rsid w:val="001E1E72"/>
    <w:rsid w:val="001F7F2B"/>
    <w:rsid w:val="00204C84"/>
    <w:rsid w:val="00204F51"/>
    <w:rsid w:val="00210561"/>
    <w:rsid w:val="0021441E"/>
    <w:rsid w:val="002145DB"/>
    <w:rsid w:val="00221E8D"/>
    <w:rsid w:val="002323BC"/>
    <w:rsid w:val="0023485C"/>
    <w:rsid w:val="00245574"/>
    <w:rsid w:val="002673BC"/>
    <w:rsid w:val="00267DD7"/>
    <w:rsid w:val="00276234"/>
    <w:rsid w:val="00277B2E"/>
    <w:rsid w:val="002921F5"/>
    <w:rsid w:val="002B751C"/>
    <w:rsid w:val="002C16CE"/>
    <w:rsid w:val="002C5CEC"/>
    <w:rsid w:val="002C6EF6"/>
    <w:rsid w:val="002E30BD"/>
    <w:rsid w:val="00304BFA"/>
    <w:rsid w:val="00317ECF"/>
    <w:rsid w:val="00324BE9"/>
    <w:rsid w:val="0033444E"/>
    <w:rsid w:val="00342DE6"/>
    <w:rsid w:val="00353BBE"/>
    <w:rsid w:val="003673C2"/>
    <w:rsid w:val="00367922"/>
    <w:rsid w:val="00370218"/>
    <w:rsid w:val="003743E9"/>
    <w:rsid w:val="00381F39"/>
    <w:rsid w:val="00383017"/>
    <w:rsid w:val="00383FDF"/>
    <w:rsid w:val="0038796B"/>
    <w:rsid w:val="003901F5"/>
    <w:rsid w:val="00391AFF"/>
    <w:rsid w:val="00396B13"/>
    <w:rsid w:val="003A31E6"/>
    <w:rsid w:val="003A4D38"/>
    <w:rsid w:val="003A5D2A"/>
    <w:rsid w:val="003B08E8"/>
    <w:rsid w:val="003C04FA"/>
    <w:rsid w:val="003E0052"/>
    <w:rsid w:val="003E7605"/>
    <w:rsid w:val="003F6FC9"/>
    <w:rsid w:val="003F7E2A"/>
    <w:rsid w:val="0040718E"/>
    <w:rsid w:val="00433BBA"/>
    <w:rsid w:val="00440BC0"/>
    <w:rsid w:val="00443F5E"/>
    <w:rsid w:val="004454A0"/>
    <w:rsid w:val="0045293E"/>
    <w:rsid w:val="0046460A"/>
    <w:rsid w:val="00467674"/>
    <w:rsid w:val="00483562"/>
    <w:rsid w:val="004842BB"/>
    <w:rsid w:val="0048650E"/>
    <w:rsid w:val="0049157A"/>
    <w:rsid w:val="0049420F"/>
    <w:rsid w:val="004A00B2"/>
    <w:rsid w:val="004A1001"/>
    <w:rsid w:val="004A55E9"/>
    <w:rsid w:val="004B04B8"/>
    <w:rsid w:val="004B6F5E"/>
    <w:rsid w:val="004C15AE"/>
    <w:rsid w:val="004C5A68"/>
    <w:rsid w:val="004E0A63"/>
    <w:rsid w:val="004F7573"/>
    <w:rsid w:val="00505508"/>
    <w:rsid w:val="0051439B"/>
    <w:rsid w:val="00515751"/>
    <w:rsid w:val="00545BF1"/>
    <w:rsid w:val="005658A6"/>
    <w:rsid w:val="00590300"/>
    <w:rsid w:val="00593599"/>
    <w:rsid w:val="0059558E"/>
    <w:rsid w:val="005A24B5"/>
    <w:rsid w:val="005A7680"/>
    <w:rsid w:val="005D5C56"/>
    <w:rsid w:val="005E2E68"/>
    <w:rsid w:val="005E35F6"/>
    <w:rsid w:val="005F1357"/>
    <w:rsid w:val="00600C49"/>
    <w:rsid w:val="00603CAB"/>
    <w:rsid w:val="0060666A"/>
    <w:rsid w:val="00612181"/>
    <w:rsid w:val="006232B2"/>
    <w:rsid w:val="00630340"/>
    <w:rsid w:val="00633715"/>
    <w:rsid w:val="006368AE"/>
    <w:rsid w:val="00647739"/>
    <w:rsid w:val="00665476"/>
    <w:rsid w:val="00673A98"/>
    <w:rsid w:val="00677E31"/>
    <w:rsid w:val="00681F19"/>
    <w:rsid w:val="00690FE7"/>
    <w:rsid w:val="00693013"/>
    <w:rsid w:val="006A347D"/>
    <w:rsid w:val="006B0F7D"/>
    <w:rsid w:val="006D01B9"/>
    <w:rsid w:val="006D312E"/>
    <w:rsid w:val="006D7EF0"/>
    <w:rsid w:val="006E0F14"/>
    <w:rsid w:val="00700F8E"/>
    <w:rsid w:val="00706EE5"/>
    <w:rsid w:val="00722281"/>
    <w:rsid w:val="007400B7"/>
    <w:rsid w:val="00754151"/>
    <w:rsid w:val="00760856"/>
    <w:rsid w:val="00781C42"/>
    <w:rsid w:val="0079173C"/>
    <w:rsid w:val="00793F6B"/>
    <w:rsid w:val="00795AE6"/>
    <w:rsid w:val="007C2484"/>
    <w:rsid w:val="007C4386"/>
    <w:rsid w:val="007E3A30"/>
    <w:rsid w:val="007E5C00"/>
    <w:rsid w:val="007F4E3D"/>
    <w:rsid w:val="00804A15"/>
    <w:rsid w:val="00807611"/>
    <w:rsid w:val="00812E68"/>
    <w:rsid w:val="00813E47"/>
    <w:rsid w:val="00817757"/>
    <w:rsid w:val="0082116F"/>
    <w:rsid w:val="0082433E"/>
    <w:rsid w:val="00831BBD"/>
    <w:rsid w:val="00851011"/>
    <w:rsid w:val="00851E7E"/>
    <w:rsid w:val="008720B7"/>
    <w:rsid w:val="0087708D"/>
    <w:rsid w:val="00895D70"/>
    <w:rsid w:val="008A15F6"/>
    <w:rsid w:val="008A7F0F"/>
    <w:rsid w:val="008B78EB"/>
    <w:rsid w:val="008D3866"/>
    <w:rsid w:val="008E147C"/>
    <w:rsid w:val="009063AD"/>
    <w:rsid w:val="00927633"/>
    <w:rsid w:val="009311EE"/>
    <w:rsid w:val="00942553"/>
    <w:rsid w:val="00953387"/>
    <w:rsid w:val="00954372"/>
    <w:rsid w:val="0096009B"/>
    <w:rsid w:val="0096232B"/>
    <w:rsid w:val="00967BCB"/>
    <w:rsid w:val="009831BF"/>
    <w:rsid w:val="009862B7"/>
    <w:rsid w:val="0099427C"/>
    <w:rsid w:val="009A530D"/>
    <w:rsid w:val="009B19AF"/>
    <w:rsid w:val="009B3244"/>
    <w:rsid w:val="009D6AD6"/>
    <w:rsid w:val="009D7B78"/>
    <w:rsid w:val="009E1E50"/>
    <w:rsid w:val="009E2B55"/>
    <w:rsid w:val="009E3E4F"/>
    <w:rsid w:val="009F4042"/>
    <w:rsid w:val="00A061E1"/>
    <w:rsid w:val="00A231DD"/>
    <w:rsid w:val="00A261B0"/>
    <w:rsid w:val="00A35207"/>
    <w:rsid w:val="00A37801"/>
    <w:rsid w:val="00A4381C"/>
    <w:rsid w:val="00A5210A"/>
    <w:rsid w:val="00A57CA8"/>
    <w:rsid w:val="00A60731"/>
    <w:rsid w:val="00A632E7"/>
    <w:rsid w:val="00A70626"/>
    <w:rsid w:val="00A729FC"/>
    <w:rsid w:val="00A7578B"/>
    <w:rsid w:val="00A775DE"/>
    <w:rsid w:val="00A828CB"/>
    <w:rsid w:val="00A975F3"/>
    <w:rsid w:val="00AA0260"/>
    <w:rsid w:val="00AA16D5"/>
    <w:rsid w:val="00AA6311"/>
    <w:rsid w:val="00AA6BB3"/>
    <w:rsid w:val="00AC3A63"/>
    <w:rsid w:val="00AE2D0A"/>
    <w:rsid w:val="00B06082"/>
    <w:rsid w:val="00B066C2"/>
    <w:rsid w:val="00B2352A"/>
    <w:rsid w:val="00B33D0A"/>
    <w:rsid w:val="00B42D22"/>
    <w:rsid w:val="00B42FF3"/>
    <w:rsid w:val="00B4700F"/>
    <w:rsid w:val="00B548F9"/>
    <w:rsid w:val="00B607A4"/>
    <w:rsid w:val="00B76564"/>
    <w:rsid w:val="00B822D8"/>
    <w:rsid w:val="00B85AA9"/>
    <w:rsid w:val="00BB0248"/>
    <w:rsid w:val="00BB3471"/>
    <w:rsid w:val="00BC3A33"/>
    <w:rsid w:val="00BD1A8E"/>
    <w:rsid w:val="00BE38F1"/>
    <w:rsid w:val="00BF25D4"/>
    <w:rsid w:val="00C00F96"/>
    <w:rsid w:val="00C035AE"/>
    <w:rsid w:val="00C05993"/>
    <w:rsid w:val="00C15D03"/>
    <w:rsid w:val="00C26F6A"/>
    <w:rsid w:val="00C34348"/>
    <w:rsid w:val="00C5557F"/>
    <w:rsid w:val="00C600E0"/>
    <w:rsid w:val="00C60BA0"/>
    <w:rsid w:val="00C80F18"/>
    <w:rsid w:val="00CA15D3"/>
    <w:rsid w:val="00CC5AA6"/>
    <w:rsid w:val="00CD0978"/>
    <w:rsid w:val="00CE06B0"/>
    <w:rsid w:val="00D152F1"/>
    <w:rsid w:val="00D15A1D"/>
    <w:rsid w:val="00D23199"/>
    <w:rsid w:val="00D25470"/>
    <w:rsid w:val="00D34A45"/>
    <w:rsid w:val="00D63E35"/>
    <w:rsid w:val="00D948F9"/>
    <w:rsid w:val="00DA787E"/>
    <w:rsid w:val="00DB184B"/>
    <w:rsid w:val="00DB4D94"/>
    <w:rsid w:val="00DB51F6"/>
    <w:rsid w:val="00DB5D5B"/>
    <w:rsid w:val="00DB7687"/>
    <w:rsid w:val="00DC4429"/>
    <w:rsid w:val="00DC5C66"/>
    <w:rsid w:val="00DE3937"/>
    <w:rsid w:val="00DF3646"/>
    <w:rsid w:val="00E168A6"/>
    <w:rsid w:val="00E16E0E"/>
    <w:rsid w:val="00E227A7"/>
    <w:rsid w:val="00E251C1"/>
    <w:rsid w:val="00E27068"/>
    <w:rsid w:val="00E35942"/>
    <w:rsid w:val="00E540AF"/>
    <w:rsid w:val="00E641B4"/>
    <w:rsid w:val="00E65F1A"/>
    <w:rsid w:val="00E6791A"/>
    <w:rsid w:val="00E71EFE"/>
    <w:rsid w:val="00E7607D"/>
    <w:rsid w:val="00E86B2A"/>
    <w:rsid w:val="00EA1357"/>
    <w:rsid w:val="00EA2396"/>
    <w:rsid w:val="00EA66AE"/>
    <w:rsid w:val="00EB2EB3"/>
    <w:rsid w:val="00ED1A2A"/>
    <w:rsid w:val="00ED6284"/>
    <w:rsid w:val="00ED6E05"/>
    <w:rsid w:val="00EF2156"/>
    <w:rsid w:val="00EF6ADD"/>
    <w:rsid w:val="00EF76E6"/>
    <w:rsid w:val="00F13591"/>
    <w:rsid w:val="00F13BD5"/>
    <w:rsid w:val="00F27B4B"/>
    <w:rsid w:val="00F32398"/>
    <w:rsid w:val="00F47F2E"/>
    <w:rsid w:val="00F732CA"/>
    <w:rsid w:val="00FA461F"/>
    <w:rsid w:val="00FA6A4C"/>
    <w:rsid w:val="00FB128B"/>
    <w:rsid w:val="00FE3E09"/>
    <w:rsid w:val="00FE5234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B04B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B04B8"/>
  </w:style>
  <w:style w:type="paragraph" w:styleId="a5">
    <w:name w:val="List Paragraph"/>
    <w:basedOn w:val="a"/>
    <w:uiPriority w:val="34"/>
    <w:qFormat/>
    <w:rsid w:val="003E00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7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Галина Нечаева</cp:lastModifiedBy>
  <cp:revision>68</cp:revision>
  <cp:lastPrinted>2021-04-02T05:33:00Z</cp:lastPrinted>
  <dcterms:created xsi:type="dcterms:W3CDTF">2024-03-05T09:00:00Z</dcterms:created>
  <dcterms:modified xsi:type="dcterms:W3CDTF">2024-04-04T04:22:00Z</dcterms:modified>
</cp:coreProperties>
</file>