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t>Проект</w:t>
      </w: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714BE" w:rsidRDefault="00B714BE" w:rsidP="00B714B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714BE" w:rsidRDefault="00354FAD" w:rsidP="00B714B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B714BE">
        <w:rPr>
          <w:sz w:val="24"/>
        </w:rPr>
        <w:t xml:space="preserve"> С</w:t>
      </w:r>
      <w:r w:rsidR="00B714BE">
        <w:rPr>
          <w:bCs/>
          <w:sz w:val="24"/>
          <w:szCs w:val="24"/>
        </w:rPr>
        <w:t xml:space="preserve">ЕССИЯ СОБРАНИЯ  ДЕПУТАТОВ МИАССКОГО </w:t>
      </w:r>
    </w:p>
    <w:p w:rsidR="00B714BE" w:rsidRDefault="00B714BE" w:rsidP="00B714BE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B714BE" w:rsidRDefault="00B714BE" w:rsidP="00B714BE">
      <w:pPr>
        <w:ind w:right="-1"/>
        <w:jc w:val="right"/>
        <w:rPr>
          <w:sz w:val="24"/>
        </w:rPr>
      </w:pPr>
    </w:p>
    <w:p w:rsidR="00B714BE" w:rsidRDefault="00B714BE" w:rsidP="00B714BE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54FAD">
        <w:rPr>
          <w:sz w:val="24"/>
        </w:rPr>
        <w:t xml:space="preserve"> ___</w:t>
      </w:r>
    </w:p>
    <w:p w:rsidR="00B714BE" w:rsidRDefault="00B714BE" w:rsidP="00B714B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354FAD">
        <w:rPr>
          <w:sz w:val="24"/>
        </w:rPr>
        <w:t>________</w:t>
      </w:r>
      <w:r>
        <w:rPr>
          <w:sz w:val="24"/>
        </w:rPr>
        <w:t>2024 г.</w:t>
      </w:r>
    </w:p>
    <w:p w:rsidR="00B714BE" w:rsidRPr="00B714BE" w:rsidRDefault="00B714BE" w:rsidP="00B714BE">
      <w:pPr>
        <w:pStyle w:val="ConsPlusTitle"/>
        <w:widowControl/>
        <w:ind w:right="-1"/>
        <w:jc w:val="center"/>
      </w:pPr>
    </w:p>
    <w:p w:rsidR="00B714BE" w:rsidRPr="00B714BE" w:rsidRDefault="008C4BBE" w:rsidP="00B714B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6.55pt;width:240.45pt;height:77.65pt;z-index:251660288" strokecolor="white">
            <v:textbox style="mso-next-textbox:#_x0000_s1026">
              <w:txbxContent>
                <w:p w:rsidR="00B714BE" w:rsidRPr="00B714BE" w:rsidRDefault="00B714BE" w:rsidP="00B714BE">
                  <w:pPr>
                    <w:jc w:val="both"/>
                    <w:rPr>
                      <w:sz w:val="24"/>
                      <w:szCs w:val="24"/>
                    </w:rPr>
                  </w:pPr>
                  <w:r w:rsidRPr="00B714BE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 w:rsidRPr="00B714BE">
                    <w:rPr>
                      <w:rStyle w:val="a5"/>
                      <w:color w:val="auto"/>
                      <w:sz w:val="24"/>
                      <w:szCs w:val="24"/>
                    </w:rPr>
                    <w:t>Решение Миасского городского Совета депутатов   от 25.02.2005 г. №22 «Об утверждении Регламента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B714BE" w:rsidRPr="00B714BE" w:rsidRDefault="00B714BE" w:rsidP="00B714B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bCs/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714BE" w:rsidRPr="00B714BE" w:rsidRDefault="00B714BE" w:rsidP="00B714B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  <w:proofErr w:type="gramStart"/>
      <w:r w:rsidRPr="00B714BE">
        <w:rPr>
          <w:rFonts w:eastAsia="Calibri"/>
          <w:sz w:val="24"/>
          <w:szCs w:val="24"/>
          <w:lang w:eastAsia="en-US"/>
        </w:rPr>
        <w:t xml:space="preserve">Рассмотрев предложение Председателя Собрания депутатов Миасского городского округа Д.Г. Проскурина </w:t>
      </w:r>
      <w:r w:rsidRPr="00B714BE">
        <w:rPr>
          <w:sz w:val="24"/>
          <w:szCs w:val="24"/>
        </w:rPr>
        <w:t xml:space="preserve">о внесении изменений в </w:t>
      </w:r>
      <w:r w:rsidRPr="00B714BE">
        <w:rPr>
          <w:rStyle w:val="a5"/>
          <w:color w:val="auto"/>
          <w:sz w:val="24"/>
          <w:szCs w:val="24"/>
        </w:rPr>
        <w:t xml:space="preserve">Решение Миасского городского Совета депутатов от 25.02.2005 г. №22 «Об утверждении Регламента Собрания депутатов Миасского городского округа», </w:t>
      </w:r>
      <w:r w:rsidRPr="00B714BE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руководствуясь </w:t>
      </w:r>
      <w:r w:rsidRPr="00B714BE">
        <w:rPr>
          <w:rFonts w:eastAsia="Calibri"/>
          <w:sz w:val="24"/>
          <w:szCs w:val="24"/>
          <w:lang w:eastAsia="en-US"/>
        </w:rPr>
        <w:t xml:space="preserve">Федеральным законом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14BE">
        <w:rPr>
          <w:rFonts w:eastAsia="Calibri"/>
          <w:sz w:val="24"/>
          <w:szCs w:val="24"/>
          <w:lang w:eastAsia="en-US"/>
        </w:rPr>
        <w:t>от 06.10.2003 г. №131-ФЗ «Об общих принципах организации местного самоуправления в Российской Федерации» и</w:t>
      </w:r>
      <w:proofErr w:type="gramEnd"/>
      <w:r w:rsidRPr="00B714BE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B714BE" w:rsidRPr="00B714BE" w:rsidRDefault="00B714BE" w:rsidP="00B714BE">
      <w:pPr>
        <w:ind w:right="-2" w:firstLine="709"/>
        <w:jc w:val="both"/>
        <w:rPr>
          <w:sz w:val="24"/>
          <w:szCs w:val="24"/>
        </w:rPr>
      </w:pPr>
      <w:r w:rsidRPr="00B714BE">
        <w:rPr>
          <w:sz w:val="24"/>
          <w:szCs w:val="24"/>
        </w:rPr>
        <w:t>РЕШАЕТ:</w:t>
      </w:r>
    </w:p>
    <w:p w:rsidR="00B714BE" w:rsidRDefault="00B714BE" w:rsidP="00B714BE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B714BE">
        <w:rPr>
          <w:rFonts w:ascii="Times New Roman" w:hAnsi="Times New Roman"/>
          <w:spacing w:val="3"/>
          <w:sz w:val="24"/>
          <w:szCs w:val="24"/>
        </w:rPr>
        <w:t xml:space="preserve"> 1.  В</w:t>
      </w:r>
      <w:r w:rsidRPr="00B714BE">
        <w:rPr>
          <w:rFonts w:ascii="Times New Roman" w:hAnsi="Times New Roman"/>
          <w:sz w:val="24"/>
          <w:szCs w:val="24"/>
        </w:rPr>
        <w:t>нести изменения в Решение Миасского городского Совета депутатов                    от 25.02.2005 г. №22 «Об утверждении Регламента Собрания депутатов Миасского</w:t>
      </w:r>
      <w:r w:rsidRPr="00FC59D1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714BE">
        <w:rPr>
          <w:rFonts w:ascii="Times New Roman" w:hAnsi="Times New Roman"/>
          <w:sz w:val="24"/>
          <w:szCs w:val="24"/>
        </w:rPr>
        <w:t xml:space="preserve">» </w:t>
      </w:r>
      <w:r w:rsidRPr="00B714BE">
        <w:rPr>
          <w:rStyle w:val="a5"/>
          <w:rFonts w:ascii="Times New Roman" w:hAnsi="Times New Roman"/>
          <w:color w:val="auto"/>
          <w:sz w:val="24"/>
          <w:szCs w:val="24"/>
        </w:rPr>
        <w:t>(далее – Решение)</w:t>
      </w:r>
      <w:r w:rsidRPr="00B714BE">
        <w:rPr>
          <w:rFonts w:ascii="Times New Roman" w:hAnsi="Times New Roman"/>
          <w:sz w:val="24"/>
          <w:szCs w:val="24"/>
        </w:rPr>
        <w:t>, а именно</w:t>
      </w:r>
      <w:r w:rsidRPr="00FC59D1">
        <w:rPr>
          <w:rFonts w:ascii="Times New Roman" w:hAnsi="Times New Roman"/>
          <w:sz w:val="24"/>
          <w:szCs w:val="24"/>
        </w:rPr>
        <w:t xml:space="preserve"> – в Приложении к Решению</w:t>
      </w:r>
      <w:r w:rsidR="00762E94">
        <w:rPr>
          <w:rFonts w:ascii="Times New Roman" w:hAnsi="Times New Roman"/>
          <w:sz w:val="24"/>
          <w:szCs w:val="24"/>
        </w:rPr>
        <w:t xml:space="preserve">                  Г</w:t>
      </w:r>
      <w:r>
        <w:rPr>
          <w:rFonts w:ascii="Times New Roman" w:hAnsi="Times New Roman"/>
          <w:sz w:val="24"/>
          <w:szCs w:val="24"/>
        </w:rPr>
        <w:t>лав</w:t>
      </w:r>
      <w:r w:rsidR="00762E9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57</w:t>
      </w:r>
      <w:r w:rsidRPr="00FC59D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714BE" w:rsidRDefault="00B714BE" w:rsidP="00B714BE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«Глава 57. Меры профилактики, ответственность за неисполнение обязанностей депутата и нарушения депутатской этики</w:t>
      </w:r>
    </w:p>
    <w:p w:rsidR="00B714BE" w:rsidRDefault="00B714BE" w:rsidP="00B714BE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95. Собрание, постоянная комиссия Собрания по вопросам Регламента, депутатской этики и </w:t>
      </w:r>
      <w:r w:rsidR="006659B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вязи с общественностью или Председатель Собрания вправе применить в отношении депутата одну из следующих мер воздействия: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рекомендовать депутату прекратить недостойное поведение;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рекомендовать депутату принести извинения за недостойные действия;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рекомендовать Собранию объявить депутату порицание;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рекомендовать Собранию лишить депутата права выступлений на сессии;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рекомендовать Собранию снизить размер компенсации расходов, связанных с осуществлением депутатской деятельности на ближайший месяц;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рекомендовать Собранию обратиться в суд для подтверждения противоправных действий (бездействия) депутата в соответствии с Уставом Округа и </w:t>
      </w:r>
      <w:r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</w:rPr>
        <w:t xml:space="preserve"> с сообщением в средствах массовой информации.</w:t>
      </w:r>
    </w:p>
    <w:p w:rsidR="008D6B2F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вправе непосредственно принять вопрос о недостойном поведении депутата к своему рассмотрению и вынести решение по нему</w:t>
      </w:r>
      <w:r w:rsidR="008D6B2F">
        <w:rPr>
          <w:rFonts w:ascii="Times New Roman" w:hAnsi="Times New Roman"/>
          <w:sz w:val="24"/>
        </w:rPr>
        <w:t>.</w:t>
      </w:r>
    </w:p>
    <w:p w:rsidR="00B714BE" w:rsidRDefault="008D6B2F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Собрание вправе</w:t>
      </w:r>
      <w:r w:rsidR="008E4A68">
        <w:rPr>
          <w:rFonts w:ascii="Times New Roman" w:hAnsi="Times New Roman"/>
          <w:sz w:val="24"/>
        </w:rPr>
        <w:t xml:space="preserve"> </w:t>
      </w:r>
      <w:r w:rsidR="00B34A18">
        <w:rPr>
          <w:rFonts w:ascii="Times New Roman" w:hAnsi="Times New Roman"/>
          <w:sz w:val="24"/>
        </w:rPr>
        <w:t>в качестве мер профилактики  применить меры</w:t>
      </w:r>
      <w:r w:rsidR="008E4A68">
        <w:rPr>
          <w:rFonts w:ascii="Times New Roman" w:hAnsi="Times New Roman"/>
          <w:sz w:val="24"/>
        </w:rPr>
        <w:t xml:space="preserve"> воздействия,</w:t>
      </w:r>
      <w:r w:rsidR="00B34A18">
        <w:rPr>
          <w:rFonts w:ascii="Times New Roman" w:hAnsi="Times New Roman"/>
          <w:sz w:val="24"/>
        </w:rPr>
        <w:t xml:space="preserve"> </w:t>
      </w:r>
      <w:r w:rsidR="008E4A68">
        <w:rPr>
          <w:rFonts w:ascii="Times New Roman" w:hAnsi="Times New Roman"/>
          <w:sz w:val="24"/>
        </w:rPr>
        <w:t>у</w:t>
      </w:r>
      <w:r w:rsidR="00B34A18">
        <w:rPr>
          <w:rFonts w:ascii="Times New Roman" w:hAnsi="Times New Roman"/>
          <w:sz w:val="24"/>
        </w:rPr>
        <w:t>казанные в настоящем пункте</w:t>
      </w:r>
      <w:r w:rsidR="008E4A68">
        <w:rPr>
          <w:rFonts w:ascii="Times New Roman" w:hAnsi="Times New Roman"/>
          <w:sz w:val="24"/>
        </w:rPr>
        <w:t>,</w:t>
      </w:r>
      <w:r w:rsidR="00B34A18">
        <w:rPr>
          <w:rFonts w:ascii="Times New Roman" w:hAnsi="Times New Roman"/>
          <w:sz w:val="24"/>
        </w:rPr>
        <w:t xml:space="preserve"> за неисполнение обязанностей депутата, установленны</w:t>
      </w:r>
      <w:r w:rsidR="008E4A68">
        <w:rPr>
          <w:rFonts w:ascii="Times New Roman" w:hAnsi="Times New Roman"/>
          <w:sz w:val="24"/>
        </w:rPr>
        <w:t>х</w:t>
      </w:r>
      <w:r w:rsidR="00B34A18">
        <w:rPr>
          <w:rFonts w:ascii="Times New Roman" w:hAnsi="Times New Roman"/>
          <w:sz w:val="24"/>
        </w:rPr>
        <w:t xml:space="preserve"> действующим законодательством.</w:t>
      </w:r>
    </w:p>
    <w:p w:rsidR="00B714BE" w:rsidRDefault="00B714BE" w:rsidP="00B714BE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 календарного года Собрание публикует в средствах массовой коммуникации списки депутатов</w:t>
      </w:r>
      <w:r w:rsidR="00762E9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пропустивших без уважительной причины более 30% пленарных заседаний сессий и постоянных комиссий Собрания. Неуважительной причиной считается отсутствие депутата на пленарном заседании без предварительного уведомления об этом  или не предоставление документа, подтверждающего невозможность присутствия на заседании</w:t>
      </w:r>
      <w:r w:rsidR="00762E9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 истечении 15 календарных дней после него</w:t>
      </w:r>
      <w:proofErr w:type="gramStart"/>
      <w:r>
        <w:rPr>
          <w:rFonts w:ascii="Times New Roman" w:hAnsi="Times New Roman"/>
          <w:sz w:val="24"/>
        </w:rPr>
        <w:t>.</w:t>
      </w:r>
      <w:r w:rsidR="00B34A18">
        <w:rPr>
          <w:rFonts w:ascii="Times New Roman" w:hAnsi="Times New Roman"/>
          <w:sz w:val="24"/>
        </w:rPr>
        <w:t>»</w:t>
      </w:r>
      <w:r w:rsidR="008E4A68">
        <w:rPr>
          <w:rFonts w:ascii="Times New Roman" w:hAnsi="Times New Roman"/>
          <w:sz w:val="24"/>
        </w:rPr>
        <w:t>.</w:t>
      </w:r>
      <w:proofErr w:type="gramEnd"/>
    </w:p>
    <w:p w:rsidR="00B34A18" w:rsidRPr="00FC59D1" w:rsidRDefault="00B34A18" w:rsidP="00B34A18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59D1">
        <w:rPr>
          <w:sz w:val="24"/>
          <w:szCs w:val="24"/>
        </w:rPr>
        <w:t>2.    Настоящее Решение опубликовать в установленном порядке.</w:t>
      </w:r>
    </w:p>
    <w:p w:rsidR="00B34A18" w:rsidRPr="00FC59D1" w:rsidRDefault="00B34A18" w:rsidP="00B34A1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59D1">
        <w:rPr>
          <w:spacing w:val="2"/>
          <w:sz w:val="24"/>
          <w:szCs w:val="24"/>
        </w:rPr>
        <w:t xml:space="preserve">3.  Контроль исполнения настоящего Решения возложить на постоянную комиссию по </w:t>
      </w:r>
      <w:r w:rsidRPr="00FC59D1">
        <w:rPr>
          <w:sz w:val="24"/>
          <w:szCs w:val="24"/>
        </w:rPr>
        <w:t>вопросам законности, правопорядка и местного самоуправления</w:t>
      </w:r>
      <w:r w:rsidRPr="00FC59D1">
        <w:rPr>
          <w:spacing w:val="-1"/>
          <w:sz w:val="24"/>
          <w:szCs w:val="24"/>
        </w:rPr>
        <w:t>.</w:t>
      </w: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Pr="000B7047" w:rsidRDefault="00B34A18" w:rsidP="00B34A18">
      <w:pPr>
        <w:jc w:val="both"/>
        <w:rPr>
          <w:sz w:val="24"/>
          <w:szCs w:val="24"/>
        </w:rPr>
      </w:pPr>
    </w:p>
    <w:p w:rsidR="00B34A18" w:rsidRPr="00393664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D96273" w:rsidRDefault="00B34A18" w:rsidP="00B34A18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</w:t>
      </w:r>
      <w:r w:rsidR="00E071B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Е.В. </w:t>
      </w:r>
      <w:r w:rsidR="00E071BC">
        <w:rPr>
          <w:color w:val="000000"/>
          <w:sz w:val="24"/>
          <w:szCs w:val="24"/>
        </w:rPr>
        <w:t>Ковальчук</w:t>
      </w:r>
    </w:p>
    <w:sectPr w:rsidR="00D96273" w:rsidSect="00D9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714BE"/>
    <w:rsid w:val="000051A4"/>
    <w:rsid w:val="00354FAD"/>
    <w:rsid w:val="00382E5F"/>
    <w:rsid w:val="006659B6"/>
    <w:rsid w:val="00762E94"/>
    <w:rsid w:val="008C4BBE"/>
    <w:rsid w:val="008D6B2F"/>
    <w:rsid w:val="008E4A68"/>
    <w:rsid w:val="00B34A18"/>
    <w:rsid w:val="00B714BE"/>
    <w:rsid w:val="00D96273"/>
    <w:rsid w:val="00E071BC"/>
    <w:rsid w:val="00F4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4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Plain Text"/>
    <w:basedOn w:val="a"/>
    <w:link w:val="a4"/>
    <w:rsid w:val="00B714B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714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714BE"/>
    <w:rPr>
      <w:b w:val="0"/>
      <w:bCs w:val="0"/>
      <w:color w:val="106BBE"/>
    </w:rPr>
  </w:style>
  <w:style w:type="paragraph" w:customStyle="1" w:styleId="ConsPlusTitle">
    <w:name w:val="ConsPlusTitle"/>
    <w:rsid w:val="00B7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5</cp:revision>
  <cp:lastPrinted>2024-02-08T07:07:00Z</cp:lastPrinted>
  <dcterms:created xsi:type="dcterms:W3CDTF">2024-02-08T05:30:00Z</dcterms:created>
  <dcterms:modified xsi:type="dcterms:W3CDTF">2024-02-08T07:26:00Z</dcterms:modified>
</cp:coreProperties>
</file>