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2D" w:rsidRPr="00FE1D90" w:rsidRDefault="006821B8" w:rsidP="00006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4D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</w:t>
      </w:r>
    </w:p>
    <w:p w:rsidR="00780E6E" w:rsidRPr="00FE1D90" w:rsidRDefault="00780E6E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2D" w:rsidRPr="00FE1D90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90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C3642D" w:rsidRPr="00FE1D90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90">
        <w:rPr>
          <w:rFonts w:ascii="Times New Roman" w:hAnsi="Times New Roman" w:cs="Times New Roman"/>
          <w:b/>
          <w:bCs/>
          <w:sz w:val="24"/>
          <w:szCs w:val="24"/>
        </w:rPr>
        <w:t>БЮДЖЕТНОЙ ПОЛИТИКИ И ОСНОВНЫЕ НАПРАВЛЕНИЯ</w:t>
      </w:r>
    </w:p>
    <w:p w:rsidR="00C3642D" w:rsidRPr="00FE1D90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90">
        <w:rPr>
          <w:rFonts w:ascii="Times New Roman" w:hAnsi="Times New Roman" w:cs="Times New Roman"/>
          <w:b/>
          <w:bCs/>
          <w:sz w:val="24"/>
          <w:szCs w:val="24"/>
        </w:rPr>
        <w:t>НАЛОГОВОЙ ПОЛИТИКИ МИАССКОГО ГОРОДСКОГО ОКРУГА</w:t>
      </w:r>
    </w:p>
    <w:p w:rsidR="00C3642D" w:rsidRPr="00FE1D90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90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271518" w:rsidRPr="00FE1D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18D3" w:rsidRPr="00FE1D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504A" w:rsidRPr="00FE1D90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418D3" w:rsidRPr="00FE1D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1D9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418D3" w:rsidRPr="00FE1D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E1D9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2504A" w:rsidRPr="00FE1D90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C3642D" w:rsidRPr="00FE1D90" w:rsidRDefault="00C3642D" w:rsidP="001852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</w:rPr>
        <w:tab/>
        <w:t>Основные направления бюджетной политики и основные направления налоговой политики Миасского городского округа подготовлены в соответствии со статьей 172 Бюджетного кодекса Российской Федерации</w:t>
      </w:r>
      <w:r w:rsidR="00747B66" w:rsidRPr="00FE1D90">
        <w:rPr>
          <w:rFonts w:ascii="Times New Roman" w:hAnsi="Times New Roman" w:cs="Times New Roman"/>
          <w:sz w:val="24"/>
          <w:szCs w:val="24"/>
        </w:rPr>
        <w:t xml:space="preserve"> и</w:t>
      </w:r>
      <w:r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в </w:t>
      </w:r>
      <w:proofErr w:type="spell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="00D418D3" w:rsidRPr="00FE1D90">
        <w:rPr>
          <w:rFonts w:ascii="Times New Roman" w:hAnsi="Times New Roman" w:cs="Times New Roman"/>
          <w:sz w:val="24"/>
          <w:szCs w:val="24"/>
        </w:rPr>
        <w:t>.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7AD" w:rsidRPr="00FE1D90" w:rsidRDefault="008A77AD" w:rsidP="008A7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Целями Основных направлений налоговой и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бюджетной </w:t>
      </w:r>
      <w:r w:rsidRPr="00FE1D90">
        <w:rPr>
          <w:rFonts w:ascii="Times New Roman" w:hAnsi="Times New Roman" w:cs="Times New Roman"/>
          <w:sz w:val="24"/>
          <w:szCs w:val="24"/>
        </w:rPr>
        <w:t xml:space="preserve">политики является определение условий, используемых при составлении проекта бюджета </w:t>
      </w:r>
      <w:proofErr w:type="spellStart"/>
      <w:r w:rsidRPr="00FE1D90">
        <w:rPr>
          <w:rFonts w:ascii="Times New Roman" w:hAnsi="Times New Roman" w:cs="Times New Roman"/>
          <w:sz w:val="24"/>
          <w:szCs w:val="24"/>
        </w:rPr>
        <w:t>Миаского</w:t>
      </w:r>
      <w:proofErr w:type="spellEnd"/>
      <w:r w:rsidRPr="00FE1D90">
        <w:rPr>
          <w:rFonts w:ascii="Times New Roman" w:hAnsi="Times New Roman" w:cs="Times New Roman"/>
          <w:sz w:val="24"/>
          <w:szCs w:val="24"/>
        </w:rPr>
        <w:t xml:space="preserve"> городского округа на 2024 год и на плановый период 2025 и 2026 годов, подходов к его формированию, основных характеристик и прогнозируемых параметров.</w:t>
      </w:r>
    </w:p>
    <w:p w:rsidR="00E035A9" w:rsidRPr="00FE1D90" w:rsidRDefault="00D418D3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8A77AD" w:rsidRPr="00FE1D90">
        <w:rPr>
          <w:rFonts w:ascii="Times New Roman" w:hAnsi="Times New Roman" w:cs="Times New Roman"/>
          <w:sz w:val="24"/>
          <w:szCs w:val="24"/>
        </w:rPr>
        <w:t>документа</w:t>
      </w:r>
      <w:r w:rsidRPr="00FE1D90">
        <w:rPr>
          <w:rFonts w:ascii="Times New Roman" w:hAnsi="Times New Roman" w:cs="Times New Roman"/>
          <w:sz w:val="24"/>
          <w:szCs w:val="24"/>
        </w:rPr>
        <w:t xml:space="preserve"> были учтены положения</w:t>
      </w:r>
      <w:r w:rsidR="00BA056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5A9" w:rsidRPr="00FE1D90" w:rsidRDefault="00E035A9" w:rsidP="00C3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0566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="004F20F7" w:rsidRPr="00FE1D90">
        <w:rPr>
          <w:rFonts w:ascii="Times New Roman" w:hAnsi="Times New Roman" w:cs="Times New Roman"/>
          <w:sz w:val="24"/>
          <w:szCs w:val="24"/>
        </w:rPr>
        <w:t>Указ</w:t>
      </w:r>
      <w:r w:rsidRPr="00FE1D90">
        <w:rPr>
          <w:rFonts w:ascii="Times New Roman" w:hAnsi="Times New Roman" w:cs="Times New Roman"/>
          <w:sz w:val="24"/>
          <w:szCs w:val="24"/>
        </w:rPr>
        <w:t>а</w:t>
      </w:r>
      <w:r w:rsidR="004F20F7" w:rsidRPr="00FE1D90">
        <w:rPr>
          <w:rFonts w:ascii="Times New Roman" w:hAnsi="Times New Roman" w:cs="Times New Roman"/>
          <w:sz w:val="24"/>
          <w:szCs w:val="24"/>
        </w:rPr>
        <w:t xml:space="preserve"> Президента Российско</w:t>
      </w:r>
      <w:r w:rsidR="00D826ED" w:rsidRPr="00FE1D90">
        <w:rPr>
          <w:rFonts w:ascii="Times New Roman" w:hAnsi="Times New Roman" w:cs="Times New Roman"/>
          <w:sz w:val="24"/>
          <w:szCs w:val="24"/>
        </w:rPr>
        <w:t>й Федерации от 7 мая 2018 года №</w:t>
      </w:r>
      <w:r w:rsidR="004F20F7" w:rsidRPr="00FE1D90">
        <w:rPr>
          <w:rFonts w:ascii="Times New Roman" w:hAnsi="Times New Roman" w:cs="Times New Roman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</w:t>
      </w:r>
      <w:r w:rsidRPr="00FE1D90">
        <w:rPr>
          <w:rFonts w:ascii="Times New Roman" w:hAnsi="Times New Roman" w:cs="Times New Roman"/>
          <w:sz w:val="24"/>
          <w:szCs w:val="24"/>
        </w:rPr>
        <w:t>;</w:t>
      </w:r>
    </w:p>
    <w:p w:rsidR="00E035A9" w:rsidRPr="00FE1D90" w:rsidRDefault="00E035A9" w:rsidP="00C3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Указа Президента Российской Федерации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от 21 июля 2020 года №</w:t>
      </w:r>
      <w:r w:rsidR="004F20F7" w:rsidRPr="00FE1D90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года"; </w:t>
      </w:r>
    </w:p>
    <w:p w:rsidR="00E035A9" w:rsidRPr="00FE1D90" w:rsidRDefault="00464C0C" w:rsidP="00C3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E035A9" w:rsidRPr="00FE1D90">
        <w:rPr>
          <w:rFonts w:ascii="Times New Roman" w:hAnsi="Times New Roman" w:cs="Times New Roman"/>
          <w:sz w:val="24"/>
          <w:szCs w:val="24"/>
        </w:rPr>
        <w:t>Указов Президента Российской Федерации от 2012 года;</w:t>
      </w:r>
    </w:p>
    <w:p w:rsidR="00C3642D" w:rsidRPr="00FE1D90" w:rsidRDefault="00E035A9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D418D3" w:rsidRPr="00FE1D90">
        <w:rPr>
          <w:rFonts w:ascii="Times New Roman" w:hAnsi="Times New Roman" w:cs="Times New Roman"/>
          <w:sz w:val="24"/>
          <w:szCs w:val="24"/>
        </w:rPr>
        <w:t>Посланий Президента РФ Федеральному Собранию РФ от 23 февраля 2023 года</w:t>
      </w:r>
      <w:r w:rsidRPr="00FE1D90">
        <w:rPr>
          <w:rFonts w:ascii="Times New Roman" w:hAnsi="Times New Roman" w:cs="Times New Roman"/>
          <w:sz w:val="24"/>
          <w:szCs w:val="24"/>
        </w:rPr>
        <w:t>;</w:t>
      </w:r>
    </w:p>
    <w:p w:rsidR="0034520F" w:rsidRPr="00FE1D90" w:rsidRDefault="0034520F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DD1D22" w:rsidRPr="00FE1D90">
        <w:rPr>
          <w:rFonts w:ascii="Times New Roman" w:hAnsi="Times New Roman" w:cs="Times New Roman"/>
          <w:sz w:val="24"/>
          <w:szCs w:val="24"/>
        </w:rPr>
        <w:t>Основных</w:t>
      </w:r>
      <w:r w:rsidR="00780E6E" w:rsidRPr="00FE1D90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D1D22" w:rsidRPr="00FE1D90">
        <w:rPr>
          <w:rFonts w:ascii="Times New Roman" w:hAnsi="Times New Roman" w:cs="Times New Roman"/>
          <w:sz w:val="24"/>
          <w:szCs w:val="24"/>
        </w:rPr>
        <w:t>й</w:t>
      </w:r>
      <w:r w:rsidR="00780E6E" w:rsidRPr="00FE1D90">
        <w:rPr>
          <w:rFonts w:ascii="Times New Roman" w:hAnsi="Times New Roman" w:cs="Times New Roman"/>
          <w:sz w:val="24"/>
          <w:szCs w:val="24"/>
        </w:rPr>
        <w:t xml:space="preserve"> бюджетной, налоговой и таможенно-тарифной политики на 202</w:t>
      </w:r>
      <w:r w:rsidR="00D418D3" w:rsidRPr="00FE1D90">
        <w:rPr>
          <w:rFonts w:ascii="Times New Roman" w:hAnsi="Times New Roman" w:cs="Times New Roman"/>
          <w:sz w:val="24"/>
          <w:szCs w:val="24"/>
        </w:rPr>
        <w:t>4</w:t>
      </w:r>
      <w:r w:rsidR="00780E6E" w:rsidRPr="00FE1D9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18D3" w:rsidRPr="00FE1D90">
        <w:rPr>
          <w:rFonts w:ascii="Times New Roman" w:hAnsi="Times New Roman" w:cs="Times New Roman"/>
          <w:sz w:val="24"/>
          <w:szCs w:val="24"/>
        </w:rPr>
        <w:t>5</w:t>
      </w:r>
      <w:r w:rsidR="00780E6E" w:rsidRPr="00FE1D90">
        <w:rPr>
          <w:rFonts w:ascii="Times New Roman" w:hAnsi="Times New Roman" w:cs="Times New Roman"/>
          <w:sz w:val="24"/>
          <w:szCs w:val="24"/>
        </w:rPr>
        <w:t xml:space="preserve"> и 202</w:t>
      </w:r>
      <w:r w:rsidR="00D418D3" w:rsidRPr="00FE1D90">
        <w:rPr>
          <w:rFonts w:ascii="Times New Roman" w:hAnsi="Times New Roman" w:cs="Times New Roman"/>
          <w:sz w:val="24"/>
          <w:szCs w:val="24"/>
        </w:rPr>
        <w:t>6</w:t>
      </w:r>
      <w:r w:rsidR="00780E6E" w:rsidRPr="00FE1D90">
        <w:rPr>
          <w:rFonts w:ascii="Times New Roman" w:hAnsi="Times New Roman" w:cs="Times New Roman"/>
          <w:sz w:val="24"/>
          <w:szCs w:val="24"/>
        </w:rPr>
        <w:t xml:space="preserve"> годов Российской Федерации</w:t>
      </w:r>
      <w:r w:rsidRPr="00FE1D90">
        <w:rPr>
          <w:rFonts w:ascii="Times New Roman" w:hAnsi="Times New Roman" w:cs="Times New Roman"/>
          <w:sz w:val="24"/>
          <w:szCs w:val="24"/>
        </w:rPr>
        <w:t>;</w:t>
      </w:r>
    </w:p>
    <w:p w:rsidR="007A32CD" w:rsidRPr="00FE1D90" w:rsidRDefault="007A32CD" w:rsidP="007A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D22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ращения Губернатора Челябинской области А.Л. </w:t>
      </w:r>
      <w:proofErr w:type="spell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Текслера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Законодательному Собранию Челябинской области </w:t>
      </w:r>
      <w:r w:rsidR="00D418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D418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7A32CD" w:rsidRPr="00FE1D90" w:rsidRDefault="007A32CD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DD1D22" w:rsidRPr="00FE1D90">
        <w:rPr>
          <w:rFonts w:ascii="Times New Roman" w:hAnsi="Times New Roman" w:cs="Times New Roman"/>
          <w:sz w:val="24"/>
          <w:szCs w:val="24"/>
        </w:rPr>
        <w:t>Основных</w:t>
      </w:r>
      <w:r w:rsidRPr="00FE1D90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D1D22" w:rsidRPr="00FE1D90">
        <w:rPr>
          <w:rFonts w:ascii="Times New Roman" w:hAnsi="Times New Roman" w:cs="Times New Roman"/>
          <w:sz w:val="24"/>
          <w:szCs w:val="24"/>
        </w:rPr>
        <w:t>й</w:t>
      </w:r>
      <w:r w:rsidRPr="00FE1D90">
        <w:rPr>
          <w:rFonts w:ascii="Times New Roman" w:hAnsi="Times New Roman" w:cs="Times New Roman"/>
          <w:sz w:val="24"/>
          <w:szCs w:val="24"/>
        </w:rPr>
        <w:t xml:space="preserve"> налоговой политики и основные направления бюджетной политики Челябинской области на 202</w:t>
      </w:r>
      <w:r w:rsidR="008A77AD" w:rsidRPr="00FE1D90">
        <w:rPr>
          <w:rFonts w:ascii="Times New Roman" w:hAnsi="Times New Roman" w:cs="Times New Roman"/>
          <w:sz w:val="24"/>
          <w:szCs w:val="24"/>
        </w:rPr>
        <w:t>4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A77AD" w:rsidRPr="00FE1D90">
        <w:rPr>
          <w:rFonts w:ascii="Times New Roman" w:hAnsi="Times New Roman" w:cs="Times New Roman"/>
          <w:sz w:val="24"/>
          <w:szCs w:val="24"/>
        </w:rPr>
        <w:t>5</w:t>
      </w:r>
      <w:r w:rsidRPr="00FE1D90">
        <w:rPr>
          <w:rFonts w:ascii="Times New Roman" w:hAnsi="Times New Roman" w:cs="Times New Roman"/>
          <w:sz w:val="24"/>
          <w:szCs w:val="24"/>
        </w:rPr>
        <w:t xml:space="preserve"> и 202</w:t>
      </w:r>
      <w:r w:rsidR="008A77AD" w:rsidRPr="00FE1D90">
        <w:rPr>
          <w:rFonts w:ascii="Times New Roman" w:hAnsi="Times New Roman" w:cs="Times New Roman"/>
          <w:sz w:val="24"/>
          <w:szCs w:val="24"/>
        </w:rPr>
        <w:t>6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4779D2" w:rsidRPr="00FE1D90" w:rsidRDefault="004779D2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Стратегии социально-экономического развития Челябинской области до 2035 года;</w:t>
      </w:r>
    </w:p>
    <w:p w:rsidR="00E035A9" w:rsidRPr="00FE1D90" w:rsidRDefault="00DD1D22" w:rsidP="00BC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C61F2C" w:rsidRPr="00FE1D90">
        <w:rPr>
          <w:rFonts w:ascii="Times New Roman" w:hAnsi="Times New Roman" w:cs="Times New Roman"/>
          <w:sz w:val="24"/>
          <w:szCs w:val="24"/>
        </w:rPr>
        <w:t>Стратеги</w:t>
      </w:r>
      <w:r w:rsidR="00BC2007" w:rsidRPr="00FE1D90">
        <w:rPr>
          <w:rFonts w:ascii="Times New Roman" w:hAnsi="Times New Roman" w:cs="Times New Roman"/>
          <w:sz w:val="24"/>
          <w:szCs w:val="24"/>
        </w:rPr>
        <w:t>и</w:t>
      </w:r>
      <w:r w:rsidR="00C61F2C" w:rsidRPr="00FE1D9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Миасского городского округа до 2035 года</w:t>
      </w:r>
      <w:r w:rsidR="00E035A9" w:rsidRPr="00FE1D90">
        <w:rPr>
          <w:rFonts w:ascii="Times New Roman" w:hAnsi="Times New Roman" w:cs="Times New Roman"/>
          <w:sz w:val="24"/>
          <w:szCs w:val="24"/>
        </w:rPr>
        <w:t xml:space="preserve"> (утвержденной </w:t>
      </w:r>
      <w:r w:rsidR="00BC2007" w:rsidRPr="00FE1D90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03.03.2023 г. №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="00BC2007" w:rsidRPr="00FE1D90">
        <w:rPr>
          <w:rFonts w:ascii="Times New Roman" w:hAnsi="Times New Roman" w:cs="Times New Roman"/>
          <w:sz w:val="24"/>
          <w:szCs w:val="24"/>
        </w:rPr>
        <w:t>6</w:t>
      </w:r>
      <w:r w:rsidR="00E035A9" w:rsidRPr="00FE1D90">
        <w:rPr>
          <w:rFonts w:ascii="Times New Roman" w:hAnsi="Times New Roman" w:cs="Times New Roman"/>
          <w:sz w:val="24"/>
          <w:szCs w:val="24"/>
        </w:rPr>
        <w:t>).</w:t>
      </w:r>
    </w:p>
    <w:p w:rsidR="00DD1D22" w:rsidRPr="00FE1D90" w:rsidRDefault="00DD1D22" w:rsidP="00C3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Основные направления налоговой и бюджетной политики сохраняют преемственность приоритетов бюджетного цикла 202</w:t>
      </w:r>
      <w:r w:rsidR="008A77AD" w:rsidRPr="00FE1D90">
        <w:rPr>
          <w:rFonts w:ascii="Times New Roman" w:hAnsi="Times New Roman" w:cs="Times New Roman"/>
          <w:sz w:val="24"/>
          <w:szCs w:val="24"/>
        </w:rPr>
        <w:t>3</w:t>
      </w:r>
      <w:r w:rsidRPr="00FE1D90">
        <w:rPr>
          <w:rFonts w:ascii="Times New Roman" w:hAnsi="Times New Roman" w:cs="Times New Roman"/>
          <w:sz w:val="24"/>
          <w:szCs w:val="24"/>
        </w:rPr>
        <w:t>-202</w:t>
      </w:r>
      <w:r w:rsidR="008A77AD" w:rsidRPr="00FE1D90">
        <w:rPr>
          <w:rFonts w:ascii="Times New Roman" w:hAnsi="Times New Roman" w:cs="Times New Roman"/>
          <w:sz w:val="24"/>
          <w:szCs w:val="24"/>
        </w:rPr>
        <w:t>5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годов, а также обязательств, принятых Округом в рамках ранее заключенн</w:t>
      </w:r>
      <w:r w:rsidR="00464C0C" w:rsidRPr="00FE1D90">
        <w:rPr>
          <w:rFonts w:ascii="Times New Roman" w:hAnsi="Times New Roman" w:cs="Times New Roman"/>
          <w:sz w:val="24"/>
          <w:szCs w:val="24"/>
        </w:rPr>
        <w:t>ого</w:t>
      </w:r>
      <w:r w:rsidRPr="00FE1D90">
        <w:rPr>
          <w:rFonts w:ascii="Times New Roman" w:hAnsi="Times New Roman" w:cs="Times New Roman"/>
          <w:sz w:val="24"/>
          <w:szCs w:val="24"/>
        </w:rPr>
        <w:t xml:space="preserve"> с Министерством Финансов Челябинской области</w:t>
      </w:r>
      <w:r w:rsidR="00F70800" w:rsidRPr="00FE1D90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B6CC7" w:rsidRPr="00FE1D90">
        <w:rPr>
          <w:rFonts w:ascii="Times New Roman" w:hAnsi="Times New Roman" w:cs="Times New Roman"/>
          <w:sz w:val="24"/>
          <w:szCs w:val="24"/>
        </w:rPr>
        <w:t xml:space="preserve"> о мерах по социально-экономическому развитию  и оздоровлению  муниципальных  финансо</w:t>
      </w:r>
      <w:r w:rsidR="00F70800" w:rsidRPr="00FE1D90">
        <w:rPr>
          <w:rFonts w:ascii="Times New Roman" w:hAnsi="Times New Roman" w:cs="Times New Roman"/>
          <w:sz w:val="24"/>
          <w:szCs w:val="24"/>
        </w:rPr>
        <w:t>в Миасского городского округа.</w:t>
      </w:r>
      <w:r w:rsidR="002B6CC7" w:rsidRPr="00FE1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CD" w:rsidRPr="00FE1D90" w:rsidRDefault="007A32CD" w:rsidP="0034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Налоговая и бюджетная политики в предстоящем среднесрочном периоде ориентированы на мобилизацию всех имеющихся возможностей для сохранения устойчивости и развития экономики и социальной сферы, в том числе путем создания условий для снижения влияния последствий сложившейся геополитической ситуации на качество жизни жителей Миасского городского округа.</w:t>
      </w:r>
    </w:p>
    <w:p w:rsidR="00F741B3" w:rsidRPr="00FE1D90" w:rsidRDefault="00E06AFC" w:rsidP="008A77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Бюджет Миасского городского округа  формируется на 202</w:t>
      </w:r>
      <w:r w:rsidR="008A77AD" w:rsidRPr="00FE1D90">
        <w:rPr>
          <w:rFonts w:ascii="Times New Roman" w:hAnsi="Times New Roman" w:cs="Times New Roman"/>
          <w:sz w:val="24"/>
          <w:szCs w:val="24"/>
        </w:rPr>
        <w:t>4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A77AD" w:rsidRPr="00FE1D90">
        <w:rPr>
          <w:rFonts w:ascii="Times New Roman" w:hAnsi="Times New Roman" w:cs="Times New Roman"/>
          <w:sz w:val="24"/>
          <w:szCs w:val="24"/>
        </w:rPr>
        <w:t>5</w:t>
      </w:r>
      <w:r w:rsidRPr="00FE1D90">
        <w:rPr>
          <w:rFonts w:ascii="Times New Roman" w:hAnsi="Times New Roman" w:cs="Times New Roman"/>
          <w:sz w:val="24"/>
          <w:szCs w:val="24"/>
        </w:rPr>
        <w:t xml:space="preserve"> и 202</w:t>
      </w:r>
      <w:r w:rsidR="008A77AD" w:rsidRPr="00FE1D90">
        <w:rPr>
          <w:rFonts w:ascii="Times New Roman" w:hAnsi="Times New Roman" w:cs="Times New Roman"/>
          <w:sz w:val="24"/>
          <w:szCs w:val="24"/>
        </w:rPr>
        <w:t xml:space="preserve">6 годов </w:t>
      </w:r>
      <w:r w:rsidR="00F741B3" w:rsidRPr="00FE1D90">
        <w:rPr>
          <w:rFonts w:ascii="Times New Roman" w:hAnsi="Times New Roman" w:cs="Times New Roman"/>
          <w:sz w:val="24"/>
          <w:szCs w:val="24"/>
        </w:rPr>
        <w:t xml:space="preserve">на основании соответствующего базового варианта прогноза социально-экономического развития </w:t>
      </w:r>
      <w:r w:rsidRPr="00FE1D90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D418D3" w:rsidRPr="00FE1D90">
        <w:rPr>
          <w:rFonts w:ascii="Times New Roman" w:hAnsi="Times New Roman" w:cs="Times New Roman"/>
          <w:sz w:val="24"/>
          <w:szCs w:val="24"/>
        </w:rPr>
        <w:t>.</w:t>
      </w:r>
    </w:p>
    <w:p w:rsidR="00C3642D" w:rsidRPr="00FE1D90" w:rsidRDefault="00A7079C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НАЛОГОВОЙ</w:t>
      </w:r>
      <w:r w:rsidR="00FD71C7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ПОЛИТИКИ МИАССКОГО ГОРОДСКОГО ОКРУГА 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</w:t>
      </w:r>
      <w:r w:rsidR="00563E8B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C4B2B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0C4B2B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</w:t>
      </w:r>
    </w:p>
    <w:p w:rsidR="00263EBB" w:rsidRPr="00FE1D90" w:rsidRDefault="00263EBB" w:rsidP="0026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Итоги реализации </w:t>
      </w:r>
      <w:r w:rsidR="00FE1D90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налоговой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политики в 2022 году и за 9 месяцев 2023 года</w:t>
      </w:r>
    </w:p>
    <w:p w:rsidR="00E8113E" w:rsidRPr="00FE1D90" w:rsidRDefault="006F03DC" w:rsidP="00E8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Н</w:t>
      </w:r>
      <w:r w:rsidR="00C3642D" w:rsidRPr="00FE1D90">
        <w:rPr>
          <w:rFonts w:ascii="Times New Roman" w:hAnsi="Times New Roman" w:cs="Times New Roman"/>
          <w:sz w:val="24"/>
          <w:szCs w:val="24"/>
        </w:rPr>
        <w:t xml:space="preserve">алоговая политика </w:t>
      </w:r>
      <w:proofErr w:type="spellStart"/>
      <w:r w:rsidR="00C3642D" w:rsidRPr="00FE1D90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C3642D" w:rsidRPr="00FE1D9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D0D92" w:rsidRPr="00FE1D90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C3642D" w:rsidRPr="00FE1D90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E8113E" w:rsidRPr="00FE1D90">
        <w:rPr>
          <w:rFonts w:ascii="Times New Roman" w:hAnsi="Times New Roman" w:cs="Times New Roman"/>
          <w:sz w:val="24"/>
          <w:szCs w:val="24"/>
        </w:rPr>
        <w:t>на укрепление собственной доходной базы бюджета Округа через стимулирование инвестиционной активности</w:t>
      </w:r>
      <w:r w:rsidR="003E6A9C" w:rsidRPr="00FE1D90">
        <w:rPr>
          <w:rFonts w:ascii="Times New Roman" w:hAnsi="Times New Roman" w:cs="Times New Roman"/>
          <w:sz w:val="24"/>
          <w:szCs w:val="24"/>
        </w:rPr>
        <w:t>,</w:t>
      </w:r>
      <w:r w:rsidR="00E8113E" w:rsidRPr="00FE1D90">
        <w:rPr>
          <w:rFonts w:ascii="Times New Roman" w:hAnsi="Times New Roman" w:cs="Times New Roman"/>
          <w:sz w:val="24"/>
          <w:szCs w:val="24"/>
        </w:rPr>
        <w:t xml:space="preserve"> обеспечение благоприятных налоговых условий для ведения предпринимательской деятельности.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В 2022 году в результате влияния на экономику </w:t>
      </w:r>
      <w:r w:rsidR="00AA6A20" w:rsidRPr="00FE1D90">
        <w:rPr>
          <w:rFonts w:ascii="Times New Roman" w:hAnsi="Times New Roman" w:cs="Times New Roman"/>
          <w:sz w:val="24"/>
          <w:szCs w:val="24"/>
        </w:rPr>
        <w:t>Округа</w:t>
      </w:r>
      <w:r w:rsidRPr="00FE1D90">
        <w:rPr>
          <w:rFonts w:ascii="Times New Roman" w:hAnsi="Times New Roman" w:cs="Times New Roman"/>
          <w:sz w:val="24"/>
          <w:szCs w:val="24"/>
        </w:rPr>
        <w:t xml:space="preserve"> введенных экономических и финансовых санкций со стороны западных стран существенно изменились условия </w:t>
      </w:r>
      <w:r w:rsidRPr="00FE1D9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и задачи налоговой политики. Основным направлением налоговой политики стало оказание дополнительных мер поддержки субъектам предпринимательства, отраслям экономики, наиболее пострадавшим в условиях </w:t>
      </w:r>
      <w:proofErr w:type="spellStart"/>
      <w:r w:rsidRPr="00FE1D90">
        <w:rPr>
          <w:rFonts w:ascii="Times New Roman" w:hAnsi="Times New Roman" w:cs="Times New Roman"/>
          <w:sz w:val="24"/>
          <w:szCs w:val="24"/>
        </w:rPr>
        <w:t>санкционных</w:t>
      </w:r>
      <w:proofErr w:type="spellEnd"/>
      <w:r w:rsidRPr="00FE1D90">
        <w:rPr>
          <w:rFonts w:ascii="Times New Roman" w:hAnsi="Times New Roman" w:cs="Times New Roman"/>
          <w:sz w:val="24"/>
          <w:szCs w:val="24"/>
        </w:rPr>
        <w:t xml:space="preserve"> ограничений, и, соответственно, содействие улучшению экономической ситуации в </w:t>
      </w:r>
      <w:r w:rsidR="005C69D9" w:rsidRPr="00FE1D90">
        <w:rPr>
          <w:rFonts w:ascii="Times New Roman" w:hAnsi="Times New Roman" w:cs="Times New Roman"/>
          <w:sz w:val="24"/>
          <w:szCs w:val="24"/>
        </w:rPr>
        <w:t>Округе</w:t>
      </w:r>
      <w:r w:rsidRPr="00FE1D90">
        <w:rPr>
          <w:rFonts w:ascii="Times New Roman" w:hAnsi="Times New Roman" w:cs="Times New Roman"/>
          <w:sz w:val="24"/>
          <w:szCs w:val="24"/>
        </w:rPr>
        <w:t>.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С целью оказания государственной поддержки сельскохозяйственным товаропроизводителям на территории Челябинской области, а также в целях обеспечения продовольственной безопасности Челябинской области, поддержки агропромышленного комплекса до 31 декабря 2024 года действует пониженная налоговая ставка по единому сельскохозяйственному налогу в размере 3 процентов. 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Для налогоплательщиков единого сельскохозяйственного налога, у которых средняя численность работников составила за налоговый период не менее 100 процентов средней численности работников за предыдущий налоговый период, на период 2022 – 2024 годов установлена налоговая ставка в размере ноль процентов. 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С целью оказания дополнительной поддержки субъектам малого и среднего предпринимательства в связи с введенными </w:t>
      </w:r>
      <w:proofErr w:type="spellStart"/>
      <w:r w:rsidRPr="00FE1D90">
        <w:rPr>
          <w:rFonts w:ascii="Times New Roman" w:hAnsi="Times New Roman" w:cs="Times New Roman"/>
          <w:sz w:val="24"/>
          <w:szCs w:val="24"/>
        </w:rPr>
        <w:t>санкционными</w:t>
      </w:r>
      <w:proofErr w:type="spellEnd"/>
      <w:r w:rsidRPr="00FE1D90">
        <w:rPr>
          <w:rFonts w:ascii="Times New Roman" w:hAnsi="Times New Roman" w:cs="Times New Roman"/>
          <w:sz w:val="24"/>
          <w:szCs w:val="24"/>
        </w:rPr>
        <w:t xml:space="preserve"> ограничениями: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продлен срок действия «налоговых каникул» для индивидуальных предпринимателей при применении упрощенной системы налогообложения и патентной системы налогообложения на т</w:t>
      </w:r>
      <w:r w:rsidR="00EF5462" w:rsidRPr="00FE1D90">
        <w:rPr>
          <w:rFonts w:ascii="Times New Roman" w:hAnsi="Times New Roman" w:cs="Times New Roman"/>
          <w:sz w:val="24"/>
          <w:szCs w:val="24"/>
        </w:rPr>
        <w:t xml:space="preserve">ерритории Челябинской области до </w:t>
      </w:r>
      <w:r w:rsidRPr="00FE1D90">
        <w:rPr>
          <w:rFonts w:ascii="Times New Roman" w:hAnsi="Times New Roman" w:cs="Times New Roman"/>
          <w:sz w:val="24"/>
          <w:szCs w:val="24"/>
        </w:rPr>
        <w:t>1 января 2025 года (ранее – до 1 января 2024 года);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D90">
        <w:rPr>
          <w:rFonts w:ascii="Times New Roman" w:hAnsi="Times New Roman" w:cs="Times New Roman"/>
          <w:sz w:val="24"/>
          <w:szCs w:val="24"/>
        </w:rPr>
        <w:t>- снижены с 1 января 2022 года до 1 января 2025 года налоговые ставки по упрощенной системе налогообложения для организаций и индивидуальных предпринимателей, осуществляющих следующие виды экономической деятельности: обрабатывающие производства, деятельность в области научных исследований и разработок, деятельность в области здравоохранения и социальных услуг (кроме деятельности массажных салонов), деятельность в области образования, деятельность в области социального предпринимательства, а также зрелищно-развлекательная, социальная</w:t>
      </w:r>
      <w:proofErr w:type="gramEnd"/>
      <w:r w:rsidRPr="00FE1D90">
        <w:rPr>
          <w:rFonts w:ascii="Times New Roman" w:hAnsi="Times New Roman" w:cs="Times New Roman"/>
          <w:sz w:val="24"/>
          <w:szCs w:val="24"/>
        </w:rPr>
        <w:t xml:space="preserve">, физкультурно-оздоровительная деятельность, деятельность в сфере телекоммуникаций. Кроме того снижены ставки для организаций, включенных в реестр социально ориентированных некоммерческих организаций. </w:t>
      </w:r>
    </w:p>
    <w:p w:rsidR="00390CED" w:rsidRPr="00FE1D90" w:rsidRDefault="00390CED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С целью оказания поддержки начинающим индивидуальным предпринимателям, осуществляющим торговлю через Интернет, выбравшим в качестве налогового режима упрощенную систему налогообложения, с 6 мая 2022 года установлена ставка в размере ноль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1605A2" w:rsidRPr="00FE1D90" w:rsidRDefault="001605A2" w:rsidP="009B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Принимаемые меры </w:t>
      </w:r>
      <w:r w:rsidR="00F36ECA" w:rsidRPr="00FE1D90">
        <w:rPr>
          <w:rFonts w:ascii="Times New Roman" w:hAnsi="Times New Roman" w:cs="Times New Roman"/>
          <w:sz w:val="24"/>
          <w:szCs w:val="24"/>
        </w:rPr>
        <w:t xml:space="preserve">на региональном уровне </w:t>
      </w:r>
      <w:r w:rsidRPr="00FE1D90">
        <w:rPr>
          <w:rFonts w:ascii="Times New Roman" w:hAnsi="Times New Roman" w:cs="Times New Roman"/>
          <w:sz w:val="24"/>
          <w:szCs w:val="24"/>
        </w:rPr>
        <w:t>по поддержки малого и среднего предпринимательства в очередной раз подтвердили свою эффективность. Поступления налога, взимаемого по упрощенной системе налогообложения, не только сохранились, но и выросли в 2022 году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90">
        <w:rPr>
          <w:rFonts w:ascii="Times New Roman" w:hAnsi="Times New Roman" w:cs="Times New Roman"/>
          <w:sz w:val="24"/>
          <w:szCs w:val="24"/>
        </w:rPr>
        <w:t xml:space="preserve">на </w:t>
      </w:r>
      <w:r w:rsidR="00017BC4" w:rsidRPr="00FE1D90">
        <w:rPr>
          <w:rFonts w:ascii="Times New Roman" w:hAnsi="Times New Roman" w:cs="Times New Roman"/>
          <w:sz w:val="24"/>
          <w:szCs w:val="24"/>
        </w:rPr>
        <w:t>23,9</w:t>
      </w:r>
      <w:r w:rsidRPr="00FE1D90">
        <w:rPr>
          <w:rFonts w:ascii="Times New Roman" w:hAnsi="Times New Roman" w:cs="Times New Roman"/>
          <w:sz w:val="24"/>
          <w:szCs w:val="24"/>
        </w:rPr>
        <w:t xml:space="preserve"> процента к 2021 году, а за </w:t>
      </w:r>
      <w:r w:rsidR="00017BC4" w:rsidRPr="00FE1D90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FE1D90">
        <w:rPr>
          <w:rFonts w:ascii="Times New Roman" w:hAnsi="Times New Roman" w:cs="Times New Roman"/>
          <w:sz w:val="24"/>
          <w:szCs w:val="24"/>
        </w:rPr>
        <w:t xml:space="preserve">2023 года увеличились на 9,6 процента. При этом в 2022 году востребованность налоговых льгот по упрощенной системе налогообложения возросла: предприниматели сэкономили 2 631,8 </w:t>
      </w:r>
      <w:proofErr w:type="gramStart"/>
      <w:r w:rsidRPr="00FE1D9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E1D90">
        <w:rPr>
          <w:rFonts w:ascii="Times New Roman" w:hAnsi="Times New Roman" w:cs="Times New Roman"/>
          <w:sz w:val="24"/>
          <w:szCs w:val="24"/>
        </w:rPr>
        <w:t xml:space="preserve"> рублей в связи с установлением законом Челябинской области пониженных ставок налога для отдельных категорий налогоплательщиков (рост на 33,6 процента к показателю 2021 года), объем поддержки в рамках «налоговых каникул» составил за 2022 год 518,2 млн рублей с ростом в 1,8 раза к 2021 году.</w:t>
      </w:r>
    </w:p>
    <w:p w:rsidR="001605A2" w:rsidRPr="00FE1D90" w:rsidRDefault="001605A2" w:rsidP="001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Следует отметить, что количество субъектов малого и среднего бизнеса, применяющих упрощенную систему налогообложения, в сложных условиях 2022 года сохранилось на стабильном уровне (99,</w:t>
      </w:r>
      <w:r w:rsidR="00ED118E" w:rsidRPr="00FE1D90">
        <w:rPr>
          <w:rFonts w:ascii="Times New Roman" w:hAnsi="Times New Roman" w:cs="Times New Roman"/>
          <w:sz w:val="24"/>
          <w:szCs w:val="24"/>
        </w:rPr>
        <w:t>1</w:t>
      </w:r>
      <w:r w:rsidRPr="00FE1D90">
        <w:rPr>
          <w:rFonts w:ascii="Times New Roman" w:hAnsi="Times New Roman" w:cs="Times New Roman"/>
          <w:sz w:val="24"/>
          <w:szCs w:val="24"/>
        </w:rPr>
        <w:t xml:space="preserve"> процента к 2021 году).</w:t>
      </w:r>
    </w:p>
    <w:p w:rsidR="001605A2" w:rsidRPr="00FE1D90" w:rsidRDefault="001605A2" w:rsidP="001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предпринимателей, использующих патентную систему налогообложения, также стабильно – прирост за 2022 год на </w:t>
      </w:r>
      <w:r w:rsidR="001821D8" w:rsidRPr="00FE1D90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FE1D9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821D8" w:rsidRPr="00FE1D90">
        <w:rPr>
          <w:rFonts w:ascii="Times New Roman" w:hAnsi="Times New Roman" w:cs="Times New Roman"/>
          <w:sz w:val="24"/>
          <w:szCs w:val="24"/>
        </w:rPr>
        <w:t>а</w:t>
      </w:r>
      <w:r w:rsidRPr="00FE1D90">
        <w:rPr>
          <w:rFonts w:ascii="Times New Roman" w:hAnsi="Times New Roman" w:cs="Times New Roman"/>
          <w:sz w:val="24"/>
          <w:szCs w:val="24"/>
        </w:rPr>
        <w:t>.</w:t>
      </w:r>
    </w:p>
    <w:p w:rsidR="00077353" w:rsidRPr="00FE1D90" w:rsidRDefault="00F66C91" w:rsidP="0007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hAnsi="Times New Roman" w:cs="Times New Roman"/>
          <w:sz w:val="24"/>
          <w:szCs w:val="24"/>
        </w:rPr>
        <w:t xml:space="preserve">Необходимо отметить, что каждая мера </w:t>
      </w:r>
      <w:r w:rsidR="008D7AC7" w:rsidRPr="00FE1D90">
        <w:rPr>
          <w:rFonts w:ascii="Times New Roman" w:hAnsi="Times New Roman" w:cs="Times New Roman"/>
          <w:sz w:val="24"/>
          <w:szCs w:val="24"/>
        </w:rPr>
        <w:t>муниципальной</w:t>
      </w:r>
      <w:r w:rsidRPr="00FE1D90">
        <w:rPr>
          <w:rFonts w:ascii="Times New Roman" w:hAnsi="Times New Roman" w:cs="Times New Roman"/>
          <w:sz w:val="24"/>
          <w:szCs w:val="24"/>
        </w:rPr>
        <w:t xml:space="preserve"> поддержки в виде налоговой льготы или, другими словами, налогового расхода, ежегодно деятельности детально анализируется кураторами налоговых расходов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Pr="00FE1D90">
        <w:rPr>
          <w:rFonts w:ascii="Times New Roman" w:hAnsi="Times New Roman" w:cs="Times New Roman"/>
          <w:sz w:val="24"/>
          <w:szCs w:val="24"/>
        </w:rPr>
        <w:t>-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Pr="00FE1D90">
        <w:rPr>
          <w:rFonts w:ascii="Times New Roman" w:hAnsi="Times New Roman" w:cs="Times New Roman"/>
          <w:sz w:val="24"/>
          <w:szCs w:val="24"/>
        </w:rPr>
        <w:t xml:space="preserve">ответственными за реализацию </w:t>
      </w:r>
      <w:r w:rsidR="008D7AC7" w:rsidRPr="00FE1D9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E1D90">
        <w:rPr>
          <w:rFonts w:ascii="Times New Roman" w:hAnsi="Times New Roman" w:cs="Times New Roman"/>
          <w:sz w:val="24"/>
          <w:szCs w:val="24"/>
        </w:rPr>
        <w:t xml:space="preserve">политики в соответствующей сфере, с целью её дальнейшей </w:t>
      </w:r>
      <w:proofErr w:type="spellStart"/>
      <w:r w:rsidRPr="00FE1D90">
        <w:rPr>
          <w:rFonts w:ascii="Times New Roman" w:hAnsi="Times New Roman" w:cs="Times New Roman"/>
          <w:sz w:val="24"/>
          <w:szCs w:val="24"/>
        </w:rPr>
        <w:t>донастройки</w:t>
      </w:r>
      <w:proofErr w:type="spellEnd"/>
      <w:r w:rsidRPr="00FE1D90">
        <w:rPr>
          <w:rFonts w:ascii="Times New Roman" w:hAnsi="Times New Roman" w:cs="Times New Roman"/>
          <w:sz w:val="24"/>
          <w:szCs w:val="24"/>
        </w:rPr>
        <w:t xml:space="preserve"> и совершенствования</w:t>
      </w:r>
      <w:r w:rsidR="00077353" w:rsidRPr="00FE1D90">
        <w:rPr>
          <w:rFonts w:ascii="Times New Roman" w:hAnsi="Times New Roman" w:cs="Times New Roman"/>
          <w:sz w:val="24"/>
          <w:szCs w:val="24"/>
        </w:rPr>
        <w:t xml:space="preserve"> (</w:t>
      </w:r>
      <w:r w:rsidR="00077353" w:rsidRPr="00FE1D90">
        <w:rPr>
          <w:rFonts w:ascii="Times New Roman" w:hAnsi="Times New Roman" w:cs="Times New Roman"/>
          <w:i/>
          <w:sz w:val="24"/>
          <w:szCs w:val="24"/>
        </w:rPr>
        <w:t>во исполнение Постановления Администрации Миасского городского округа от 16.07.2020 г. № 3038 «Об утверждении Порядка формирования перечня налоговых расходов и оценки налоговых расходов</w:t>
      </w:r>
      <w:proofErr w:type="gramEnd"/>
      <w:r w:rsidR="00077353" w:rsidRPr="00FE1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7353" w:rsidRPr="00FE1D90">
        <w:rPr>
          <w:rFonts w:ascii="Times New Roman" w:hAnsi="Times New Roman" w:cs="Times New Roman"/>
          <w:i/>
          <w:sz w:val="24"/>
          <w:szCs w:val="24"/>
        </w:rPr>
        <w:t>Миасского городского округа</w:t>
      </w:r>
      <w:r w:rsidR="00077353" w:rsidRPr="00FE1D9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66C91" w:rsidRPr="00FE1D90" w:rsidRDefault="00F66C91" w:rsidP="00E2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lastRenderedPageBreak/>
        <w:t>По результатам оценки эффективности налоговых расходов за 202</w:t>
      </w:r>
      <w:r w:rsidR="002800B9" w:rsidRPr="00FE1D90">
        <w:rPr>
          <w:rFonts w:ascii="Times New Roman" w:hAnsi="Times New Roman" w:cs="Times New Roman"/>
          <w:sz w:val="24"/>
          <w:szCs w:val="24"/>
        </w:rPr>
        <w:t>2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год, все предоставленные </w:t>
      </w:r>
      <w:r w:rsidR="008D7AC7" w:rsidRPr="00FE1D90">
        <w:rPr>
          <w:rFonts w:ascii="Times New Roman" w:hAnsi="Times New Roman" w:cs="Times New Roman"/>
          <w:sz w:val="24"/>
          <w:szCs w:val="24"/>
        </w:rPr>
        <w:t xml:space="preserve">Собранием депутатов Миасского городского округа </w:t>
      </w:r>
      <w:r w:rsidRPr="00FE1D90">
        <w:rPr>
          <w:rFonts w:ascii="Times New Roman" w:hAnsi="Times New Roman" w:cs="Times New Roman"/>
          <w:sz w:val="24"/>
          <w:szCs w:val="24"/>
        </w:rPr>
        <w:t>налоговые преференции признаны эффективными.</w:t>
      </w:r>
    </w:p>
    <w:p w:rsidR="008D7AC7" w:rsidRPr="00FE1D90" w:rsidRDefault="008D7AC7" w:rsidP="008D7AC7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предоставленных налоговых расходов бюджета Миасского городского округа за 202</w:t>
      </w:r>
      <w:r w:rsidR="002800B9"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составил </w:t>
      </w:r>
      <w:r w:rsidR="00A5190A"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17656,0 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</w:t>
      </w:r>
    </w:p>
    <w:p w:rsidR="008D7AC7" w:rsidRPr="00FE1D90" w:rsidRDefault="008D7AC7" w:rsidP="008D7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Более подробная информация приведена в таблице.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693"/>
        <w:gridCol w:w="1276"/>
      </w:tblGrid>
      <w:tr w:rsidR="008D7AC7" w:rsidRPr="00FE1D90" w:rsidTr="00FE1D90">
        <w:trPr>
          <w:trHeight w:val="1734"/>
        </w:trPr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2552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налогоплательщиков, </w:t>
            </w:r>
          </w:p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</w:t>
            </w:r>
            <w:proofErr w:type="gramEnd"/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льготой и иными преференциями</w:t>
            </w:r>
          </w:p>
        </w:tc>
        <w:tc>
          <w:tcPr>
            <w:tcW w:w="2693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налога, не поступившая в бюджет Округа, в связи с предоставлением налогового расхода (тыс. руб.)</w:t>
            </w:r>
          </w:p>
        </w:tc>
        <w:tc>
          <w:tcPr>
            <w:tcW w:w="1276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8D7AC7" w:rsidRPr="00FE1D90" w:rsidTr="00FE1D90">
        <w:trPr>
          <w:trHeight w:val="389"/>
        </w:trPr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 том числе:</w:t>
            </w:r>
          </w:p>
        </w:tc>
        <w:tc>
          <w:tcPr>
            <w:tcW w:w="2552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34920</w:t>
            </w:r>
          </w:p>
        </w:tc>
        <w:tc>
          <w:tcPr>
            <w:tcW w:w="2693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  <w:r w:rsidR="008D7AC7"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8D7AC7" w:rsidRPr="00FE1D90" w:rsidTr="00FE1D90">
        <w:trPr>
          <w:trHeight w:val="389"/>
        </w:trPr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налоговая льгота</w:t>
            </w:r>
          </w:p>
        </w:tc>
        <w:tc>
          <w:tcPr>
            <w:tcW w:w="2552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15426</w:t>
            </w:r>
          </w:p>
        </w:tc>
        <w:tc>
          <w:tcPr>
            <w:tcW w:w="2693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4062</w:t>
            </w:r>
            <w:r w:rsidR="008D7AC7"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23,0</w:t>
            </w:r>
          </w:p>
        </w:tc>
      </w:tr>
      <w:tr w:rsidR="008D7AC7" w:rsidRPr="00FE1D90" w:rsidTr="00FE1D90">
        <w:trPr>
          <w:trHeight w:val="389"/>
        </w:trPr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пониженная ставка</w:t>
            </w:r>
          </w:p>
        </w:tc>
        <w:tc>
          <w:tcPr>
            <w:tcW w:w="2552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19494</w:t>
            </w:r>
          </w:p>
        </w:tc>
        <w:tc>
          <w:tcPr>
            <w:tcW w:w="2693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940</w:t>
            </w:r>
            <w:r w:rsidR="008D7AC7"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FE1D90" w:rsidRDefault="00977C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5,3</w:t>
            </w:r>
          </w:p>
        </w:tc>
      </w:tr>
      <w:tr w:rsidR="008D7AC7" w:rsidRPr="00FE1D90" w:rsidTr="00FE1D90"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  <w:p w:rsidR="008D7AC7" w:rsidRPr="00FE1D90" w:rsidRDefault="008D7AC7" w:rsidP="00D8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</w:t>
            </w:r>
            <w:r w:rsidR="007B6F34"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2552" w:type="dxa"/>
            <w:vAlign w:val="center"/>
          </w:tcPr>
          <w:p w:rsidR="008D7AC7" w:rsidRPr="00FE1D90" w:rsidRDefault="009F2806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</w:t>
            </w:r>
            <w:r w:rsidR="00D826ED"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vAlign w:val="center"/>
          </w:tcPr>
          <w:p w:rsidR="008D7AC7" w:rsidRPr="00FE1D90" w:rsidRDefault="00D826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12654,0</w:t>
            </w:r>
          </w:p>
        </w:tc>
        <w:tc>
          <w:tcPr>
            <w:tcW w:w="1276" w:type="dxa"/>
            <w:vAlign w:val="center"/>
          </w:tcPr>
          <w:p w:rsidR="008D7AC7" w:rsidRPr="00FE1D90" w:rsidRDefault="009223C0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7B6F34" w:rsidRPr="00FE1D90" w:rsidTr="00FE1D90">
        <w:tc>
          <w:tcPr>
            <w:tcW w:w="2977" w:type="dxa"/>
            <w:vAlign w:val="center"/>
          </w:tcPr>
          <w:p w:rsidR="007B6F34" w:rsidRPr="00FE1D90" w:rsidRDefault="002939EE" w:rsidP="00D8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налоговая льгота</w:t>
            </w:r>
          </w:p>
        </w:tc>
        <w:tc>
          <w:tcPr>
            <w:tcW w:w="2552" w:type="dxa"/>
            <w:vAlign w:val="center"/>
          </w:tcPr>
          <w:p w:rsidR="007B6F34" w:rsidRPr="00FE1D90" w:rsidRDefault="009F2806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2693" w:type="dxa"/>
            <w:vAlign w:val="center"/>
          </w:tcPr>
          <w:p w:rsidR="007B6F34" w:rsidRPr="00FE1D90" w:rsidRDefault="00D826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2362,0</w:t>
            </w:r>
          </w:p>
        </w:tc>
        <w:tc>
          <w:tcPr>
            <w:tcW w:w="1276" w:type="dxa"/>
            <w:vAlign w:val="center"/>
          </w:tcPr>
          <w:p w:rsidR="007B6F34" w:rsidRPr="00FE1D90" w:rsidRDefault="009223C0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13,4</w:t>
            </w:r>
          </w:p>
        </w:tc>
      </w:tr>
      <w:tr w:rsidR="007B6F34" w:rsidRPr="00FE1D90" w:rsidTr="00FE1D90">
        <w:tc>
          <w:tcPr>
            <w:tcW w:w="2977" w:type="dxa"/>
            <w:vAlign w:val="center"/>
          </w:tcPr>
          <w:p w:rsidR="007B6F34" w:rsidRPr="00FE1D90" w:rsidRDefault="009F2806" w:rsidP="009F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пониженная ставка</w:t>
            </w:r>
          </w:p>
        </w:tc>
        <w:tc>
          <w:tcPr>
            <w:tcW w:w="2552" w:type="dxa"/>
            <w:vAlign w:val="center"/>
          </w:tcPr>
          <w:p w:rsidR="007B6F34" w:rsidRPr="00FE1D90" w:rsidRDefault="009F2806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Align w:val="center"/>
          </w:tcPr>
          <w:p w:rsidR="007B6F34" w:rsidRPr="00FE1D90" w:rsidRDefault="00D826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10292,0</w:t>
            </w:r>
          </w:p>
        </w:tc>
        <w:tc>
          <w:tcPr>
            <w:tcW w:w="1276" w:type="dxa"/>
            <w:vAlign w:val="center"/>
          </w:tcPr>
          <w:p w:rsidR="007B6F34" w:rsidRPr="00FE1D90" w:rsidRDefault="009223C0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58,3</w:t>
            </w:r>
          </w:p>
        </w:tc>
      </w:tr>
      <w:tr w:rsidR="008D7AC7" w:rsidRPr="00FE1D90" w:rsidTr="00FE1D90">
        <w:trPr>
          <w:trHeight w:val="501"/>
        </w:trPr>
        <w:tc>
          <w:tcPr>
            <w:tcW w:w="2977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52" w:type="dxa"/>
            <w:vAlign w:val="center"/>
          </w:tcPr>
          <w:p w:rsidR="008D7AC7" w:rsidRPr="00FE1D90" w:rsidRDefault="00D826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40046</w:t>
            </w:r>
          </w:p>
        </w:tc>
        <w:tc>
          <w:tcPr>
            <w:tcW w:w="2693" w:type="dxa"/>
            <w:vAlign w:val="center"/>
          </w:tcPr>
          <w:p w:rsidR="008D7AC7" w:rsidRPr="00FE1D90" w:rsidRDefault="00D826ED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17656,0</w:t>
            </w:r>
          </w:p>
        </w:tc>
        <w:tc>
          <w:tcPr>
            <w:tcW w:w="1276" w:type="dxa"/>
            <w:vAlign w:val="center"/>
          </w:tcPr>
          <w:p w:rsidR="008D7AC7" w:rsidRPr="00FE1D90" w:rsidRDefault="008D7AC7" w:rsidP="00D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E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66C91" w:rsidRPr="00FE1D90" w:rsidRDefault="00F66C91" w:rsidP="00E2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расходов учитываются при формировании основных направлений бюджетной и налоговой политики </w:t>
      </w:r>
      <w:r w:rsidR="00FB55F8" w:rsidRPr="00FE1D90">
        <w:rPr>
          <w:rFonts w:ascii="Times New Roman" w:hAnsi="Times New Roman" w:cs="Times New Roman"/>
          <w:sz w:val="24"/>
          <w:szCs w:val="24"/>
        </w:rPr>
        <w:t>Округа</w:t>
      </w:r>
      <w:r w:rsidRPr="00FE1D90">
        <w:rPr>
          <w:rFonts w:ascii="Times New Roman" w:hAnsi="Times New Roman" w:cs="Times New Roman"/>
          <w:sz w:val="24"/>
          <w:szCs w:val="24"/>
        </w:rPr>
        <w:t xml:space="preserve">, </w:t>
      </w:r>
      <w:r w:rsidR="00FB55F8" w:rsidRPr="00FE1D90">
        <w:rPr>
          <w:rFonts w:ascii="Times New Roman" w:hAnsi="Times New Roman" w:cs="Times New Roman"/>
          <w:sz w:val="24"/>
          <w:szCs w:val="24"/>
        </w:rPr>
        <w:t xml:space="preserve">и </w:t>
      </w:r>
      <w:r w:rsidRPr="00FE1D90">
        <w:rPr>
          <w:rFonts w:ascii="Times New Roman" w:hAnsi="Times New Roman" w:cs="Times New Roman"/>
          <w:sz w:val="24"/>
          <w:szCs w:val="24"/>
        </w:rPr>
        <w:t>соответственно, при формировании проекта бюджета</w:t>
      </w:r>
      <w:r w:rsidR="00FB55F8" w:rsidRPr="00FE1D9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E1D90">
        <w:rPr>
          <w:rFonts w:ascii="Times New Roman" w:hAnsi="Times New Roman" w:cs="Times New Roman"/>
          <w:sz w:val="24"/>
          <w:szCs w:val="24"/>
        </w:rPr>
        <w:t xml:space="preserve"> на предстоящий трехлетний период.</w:t>
      </w:r>
    </w:p>
    <w:p w:rsidR="001641F5" w:rsidRPr="00FE1D90" w:rsidRDefault="00AB502B" w:rsidP="001641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Реализация мероприятий по укреплению доходной базы бюджета, вместе с ростом отдельных экономических показателей, позволяет сохранять рост доходной части бюджета Округа. </w:t>
      </w:r>
      <w:r w:rsidR="00F003B7" w:rsidRPr="00FE1D90">
        <w:rPr>
          <w:rFonts w:ascii="Times New Roman" w:hAnsi="Times New Roman" w:cs="Times New Roman"/>
          <w:sz w:val="24"/>
          <w:szCs w:val="24"/>
        </w:rPr>
        <w:t>По итогам 20</w:t>
      </w:r>
      <w:r w:rsidR="00AF05C6" w:rsidRPr="00FE1D90">
        <w:rPr>
          <w:rFonts w:ascii="Times New Roman" w:hAnsi="Times New Roman" w:cs="Times New Roman"/>
          <w:sz w:val="24"/>
          <w:szCs w:val="24"/>
        </w:rPr>
        <w:t>2</w:t>
      </w:r>
      <w:r w:rsidR="00840CA1" w:rsidRPr="00FE1D90">
        <w:rPr>
          <w:rFonts w:ascii="Times New Roman" w:hAnsi="Times New Roman" w:cs="Times New Roman"/>
          <w:sz w:val="24"/>
          <w:szCs w:val="24"/>
        </w:rPr>
        <w:t>2</w:t>
      </w:r>
      <w:r w:rsidR="00F003B7" w:rsidRPr="00FE1D90">
        <w:rPr>
          <w:rFonts w:ascii="Times New Roman" w:hAnsi="Times New Roman" w:cs="Times New Roman"/>
          <w:sz w:val="24"/>
          <w:szCs w:val="24"/>
        </w:rPr>
        <w:t xml:space="preserve"> года прирост налоговых и неналоговых доходов к ур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овню предыдущего года составил </w:t>
      </w:r>
      <w:r w:rsidR="008A7B1E" w:rsidRPr="00FE1D90">
        <w:rPr>
          <w:rFonts w:ascii="Times New Roman" w:hAnsi="Times New Roman" w:cs="Times New Roman"/>
          <w:sz w:val="24"/>
          <w:szCs w:val="24"/>
        </w:rPr>
        <w:t>21,6</w:t>
      </w:r>
      <w:r w:rsidR="00F003B7" w:rsidRPr="00FE1D90">
        <w:rPr>
          <w:rFonts w:ascii="Times New Roman" w:hAnsi="Times New Roman" w:cs="Times New Roman"/>
          <w:sz w:val="24"/>
          <w:szCs w:val="24"/>
        </w:rPr>
        <w:t xml:space="preserve"> %, за 9 месяцев 20</w:t>
      </w:r>
      <w:r w:rsidR="00EA4447" w:rsidRPr="00FE1D90">
        <w:rPr>
          <w:rFonts w:ascii="Times New Roman" w:hAnsi="Times New Roman" w:cs="Times New Roman"/>
          <w:sz w:val="24"/>
          <w:szCs w:val="24"/>
        </w:rPr>
        <w:t>2</w:t>
      </w:r>
      <w:r w:rsidR="00D826ED" w:rsidRPr="00FE1D90">
        <w:rPr>
          <w:rFonts w:ascii="Times New Roman" w:hAnsi="Times New Roman" w:cs="Times New Roman"/>
          <w:sz w:val="24"/>
          <w:szCs w:val="24"/>
        </w:rPr>
        <w:t>3</w:t>
      </w:r>
      <w:r w:rsidR="00F003B7" w:rsidRPr="00FE1D90">
        <w:rPr>
          <w:rFonts w:ascii="Times New Roman" w:hAnsi="Times New Roman" w:cs="Times New Roman"/>
          <w:sz w:val="24"/>
          <w:szCs w:val="24"/>
        </w:rPr>
        <w:t xml:space="preserve"> года прирост </w:t>
      </w:r>
      <w:r w:rsidR="001641F5" w:rsidRPr="00FE1D90">
        <w:rPr>
          <w:rFonts w:ascii="Times New Roman" w:hAnsi="Times New Roman" w:cs="Times New Roman"/>
          <w:sz w:val="24"/>
          <w:szCs w:val="24"/>
        </w:rPr>
        <w:t>составил 23,3</w:t>
      </w:r>
      <w:r w:rsidR="00D826ED" w:rsidRPr="00FE1D90">
        <w:rPr>
          <w:rFonts w:ascii="Times New Roman" w:hAnsi="Times New Roman" w:cs="Times New Roman"/>
          <w:sz w:val="24"/>
          <w:szCs w:val="24"/>
        </w:rPr>
        <w:t xml:space="preserve"> % </w:t>
      </w:r>
      <w:r w:rsidR="00F003B7" w:rsidRPr="00FE1D90">
        <w:rPr>
          <w:rFonts w:ascii="Times New Roman" w:hAnsi="Times New Roman" w:cs="Times New Roman"/>
          <w:sz w:val="24"/>
          <w:szCs w:val="24"/>
        </w:rPr>
        <w:t>к аналогичному периоду 20</w:t>
      </w:r>
      <w:r w:rsidR="00053DDB" w:rsidRPr="00FE1D90">
        <w:rPr>
          <w:rFonts w:ascii="Times New Roman" w:hAnsi="Times New Roman" w:cs="Times New Roman"/>
          <w:sz w:val="24"/>
          <w:szCs w:val="24"/>
        </w:rPr>
        <w:t>2</w:t>
      </w:r>
      <w:r w:rsidR="001641F5" w:rsidRPr="00FE1D90">
        <w:rPr>
          <w:rFonts w:ascii="Times New Roman" w:hAnsi="Times New Roman" w:cs="Times New Roman"/>
          <w:sz w:val="24"/>
          <w:szCs w:val="24"/>
        </w:rPr>
        <w:t>2</w:t>
      </w:r>
      <w:r w:rsidR="00F003B7" w:rsidRPr="00FE1D9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65010" w:rsidRPr="00FE1D90" w:rsidRDefault="008A7B1E" w:rsidP="008A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="0006501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выросли по сравнению с аналогичным периодом прошлого года по ряду налоговых источников, среди них:</w:t>
      </w:r>
    </w:p>
    <w:p w:rsidR="00065010" w:rsidRPr="00FE1D90" w:rsidRDefault="00065010" w:rsidP="000650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FE6309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280292,6</w:t>
      </w: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больше (или на 30,7%) поступил налог на доходы физических лиц, согласно пояснениям представленным главным администратором доходов </w:t>
      </w:r>
      <w:proofErr w:type="gramStart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МРИ</w:t>
      </w:r>
      <w:proofErr w:type="gramEnd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ФНС России № 31 по Челябинской области, вследствие увеличения количества плательщиков, активной адресной работы налоговых органов по побуждению налогоплательщиков к подаче уведомлений, а также увеличения темпов инфляции;</w:t>
      </w:r>
    </w:p>
    <w:p w:rsidR="00065010" w:rsidRPr="00FE1D90" w:rsidRDefault="00065010" w:rsidP="000650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на 38910,4 тыс. рублей больше (или на 13,4%) поступил налог, взимаемый в связи с применением упрощенной системы налогообложения, в связи с увеличением количества налогоплательщиков.</w:t>
      </w:r>
    </w:p>
    <w:p w:rsidR="00065010" w:rsidRPr="00FE1D90" w:rsidRDefault="00065010" w:rsidP="000650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 этом поступления, по сравнению с аналогичным периодом прошлого года, уменьшились по ряду налоговых источников, среди них:</w:t>
      </w:r>
    </w:p>
    <w:p w:rsidR="00065010" w:rsidRPr="00FE1D90" w:rsidRDefault="00FE6309" w:rsidP="000650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3378,0 тыс. рублей меньше (или на 15,8%) поступил налог на имуществ</w:t>
      </w: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физических лиц, взимаемый по </w:t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ставкам, применяемым к объектам налогообложения, расположенным в границах городских округов. Причина снижения, в связи проведения зачета переплаты с КБК на ЕНП. </w:t>
      </w:r>
      <w:proofErr w:type="gramStart"/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в соответствии с Постановлением Правительства Российской Федерации от 29.03.2023 № 500 «О мерах по урегулированию задолженности по уплате налогов, сборов, страховых взносов, пеней, штрафов, процентов, установленных Налоговым кодексом Российской Федерации, в 2023 году» предусмотренные Налоговым кодексом РФ предельные сроки направления требований об уплате задолженности и принятия решений о взыскании задолженности увеличены на 6 месяцев;</w:t>
      </w:r>
      <w:proofErr w:type="gramEnd"/>
    </w:p>
    <w:p w:rsidR="00065010" w:rsidRPr="00FE1D90" w:rsidRDefault="00FE6309" w:rsidP="00065010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2265,1 тыс. рублей меньше (или на 18,8%) поступил налог, взимаемый в связи с применением патентной системы налогообложения, зачисляемый в бюджеты городских </w:t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округов</w:t>
      </w:r>
      <w:r w:rsidR="00065010" w:rsidRPr="00FE1D9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связано с уменьшением количества выданных патентов, а также из-за проведения зачетов переплаты налога на ЕНС.</w:t>
      </w:r>
      <w:r w:rsidR="00065010"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65010" w:rsidRPr="00FE1D90" w:rsidRDefault="00065010" w:rsidP="0006501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Неналоговые доходы в отчетном периоде поступили в сумме 210118,4 тыс. рублей, или </w:t>
      </w:r>
      <w:r w:rsidR="009F7FBD"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129,5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% к годовым бюджетным назначениям. Рост к уровню аналогичного периода 2022 г</w:t>
      </w:r>
      <w:r w:rsidR="009F7FBD"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ода составило 25,3%, или 42487,1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DE1F8E" w:rsidRPr="00FE1D90" w:rsidRDefault="005A4007" w:rsidP="001B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мерами, направленными на стимулирование роста </w:t>
      </w:r>
      <w:r w:rsidR="00EE55C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доходного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сокращению задолженности по </w:t>
      </w:r>
      <w:r w:rsidR="00EE55C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и неналоговым доходам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сборам и иным обязательным платежам в бюджет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F8E" w:rsidRPr="00FE1D90" w:rsidRDefault="00DE1F8E" w:rsidP="0038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межведомственной </w:t>
      </w:r>
      <w:r w:rsidR="007F67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</w:t>
      </w:r>
      <w:r w:rsidR="0035583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182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проведена работа с представителями организаций и предпринимателей, имеющих соответствующую задолженность. В результате проведенных мероприятий погашена задолженность в бюджет Округа на общую сумму </w:t>
      </w:r>
      <w:r w:rsidR="006B423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3007,5</w:t>
      </w:r>
      <w:r w:rsidR="00BB73F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E1F8E" w:rsidRPr="00FE1D90" w:rsidRDefault="00DE1F8E" w:rsidP="00DE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многом положительный результат обеспечивается планомерной реализацией мер, направленных на развитие экономики и укрепление доходной базы бюджета Округа.</w:t>
      </w:r>
    </w:p>
    <w:p w:rsidR="00617738" w:rsidRPr="00FE1D90" w:rsidRDefault="00617738" w:rsidP="006177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направления налоговой  </w:t>
      </w:r>
      <w:proofErr w:type="gramStart"/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политики на</w:t>
      </w:r>
      <w:proofErr w:type="gramEnd"/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предстоящий период</w:t>
      </w:r>
    </w:p>
    <w:p w:rsidR="00617738" w:rsidRPr="00FE1D90" w:rsidRDefault="00617738" w:rsidP="0061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стратегическими ориентирами в предстоящем периоде будут являться стабильность и предсказуемость налоговой политики.</w:t>
      </w:r>
    </w:p>
    <w:p w:rsidR="00023292" w:rsidRPr="00FE1D90" w:rsidRDefault="00023292" w:rsidP="0002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прогнозируемых экономических условиях возрастают риски их негативного влияния на поступление доходов. В этой связи, учитывая сложную экономическую ситуацию, связанную с внешним </w:t>
      </w:r>
      <w:proofErr w:type="spell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санкционным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давлением, в предстоящем периоде налоговая политика Округа главным образом будет направлена на обеспечение стабильных налоговых условий, содействие росту собственной доходной базы через стимулирование инвестиционной активности на территории Округа и создание благоприятных налоговых условий для ведения предпринимательской деятельности.</w:t>
      </w:r>
    </w:p>
    <w:p w:rsidR="00C3642D" w:rsidRPr="00FE1D90" w:rsidRDefault="009F7FB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будет продолжена работа по сохранению, укреплению и развитию потенциала путем совершенствования механизмов взаимодействия органов исполнительной власти Миасского городского округа</w:t>
      </w:r>
      <w:r w:rsidR="00E04E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и федеральных органов государственной власти в части качественного администрирования доходных источников местного бюджета и повышения уровня собираемости, легализации налоговой базы, </w:t>
      </w:r>
      <w:r w:rsidR="00A4717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легализацию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теневой «заработной платы», поддержки организаций, формирующих налоговый потенциал, содействия инвестиционным процессам в экономике, повышения</w:t>
      </w:r>
      <w:proofErr w:type="gramEnd"/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управления государственной и муниципальной собственностью.</w:t>
      </w:r>
    </w:p>
    <w:p w:rsidR="00D5464C" w:rsidRPr="00FE1D90" w:rsidRDefault="00D5464C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налоговой политики на 202</w:t>
      </w:r>
      <w:r w:rsidR="00CB166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166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являются:</w:t>
      </w:r>
    </w:p>
    <w:p w:rsidR="00777A51" w:rsidRPr="00FE1D90" w:rsidRDefault="001B3FA7" w:rsidP="00777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C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ухудшения геополитической и экономической обстановки </w:t>
      </w:r>
      <w:r w:rsidR="00D34C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оперативная разработка и </w:t>
      </w:r>
      <w:proofErr w:type="spellStart"/>
      <w:r w:rsidR="00D34C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донастройка</w:t>
      </w:r>
      <w:proofErr w:type="spellEnd"/>
      <w:r w:rsidR="00D34C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налогового стимулирования</w:t>
      </w:r>
      <w:r w:rsidR="00240BA9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субъектов</w:t>
      </w:r>
      <w:r w:rsidR="00777A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к ключевым отраслям экономики, в том числе реализующих мероприятия по </w:t>
      </w:r>
      <w:proofErr w:type="spellStart"/>
      <w:r w:rsidR="00777A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импортозамещению</w:t>
      </w:r>
      <w:proofErr w:type="spellEnd"/>
      <w:r w:rsidR="00C47DA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отраслях, наиболее пострадавших от </w:t>
      </w:r>
      <w:proofErr w:type="spellStart"/>
      <w:r w:rsidR="00C47DA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="00C47DA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давления.</w:t>
      </w:r>
      <w:r w:rsidR="00777A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464C" w:rsidRPr="00FE1D90" w:rsidRDefault="00894EF1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FA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ежегодного анализа и оценки налоговых </w:t>
      </w:r>
      <w:proofErr w:type="gramStart"/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эффективности реализуемых мер муниципальной поддержки в виде предоставления налоговых преференций.</w:t>
      </w:r>
    </w:p>
    <w:p w:rsidR="00D5464C" w:rsidRPr="00FE1D90" w:rsidRDefault="001B3FA7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Округа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местным налогам, 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оперативное реагирование на изменения федерального</w:t>
      </w:r>
      <w:r w:rsidR="009F7FB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областного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законодательства.</w:t>
      </w:r>
    </w:p>
    <w:p w:rsidR="00D5464C" w:rsidRPr="00FE1D90" w:rsidRDefault="001B3FA7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доходной базы бюджет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Округа</w:t>
      </w:r>
      <w:r w:rsidR="00D54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42D" w:rsidRPr="00FE1D90" w:rsidRDefault="00C3642D" w:rsidP="00B52B68">
      <w:pPr>
        <w:spacing w:before="120" w:after="12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основные направления бюджетной политики</w:t>
      </w:r>
      <w:r w:rsidR="00E2565D"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Миасского городского округа на 20</w:t>
      </w:r>
      <w:r w:rsidR="00587A3C"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2</w:t>
      </w:r>
      <w:r w:rsidR="008A77AD"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4</w:t>
      </w:r>
      <w:r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-202</w:t>
      </w:r>
      <w:r w:rsidR="008A77AD"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6</w:t>
      </w:r>
      <w:r w:rsidRPr="00FE1D9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годы</w:t>
      </w:r>
    </w:p>
    <w:p w:rsidR="00C3642D" w:rsidRPr="00FE1D90" w:rsidRDefault="00C3642D" w:rsidP="00C3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Итоги реализации бюджетной политики в 20</w:t>
      </w:r>
      <w:r w:rsidR="00FB3C16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A77AD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D57C8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году и </w:t>
      </w:r>
      <w:r w:rsidR="0039474F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9 месяцев 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EF080E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A77AD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AD57C8"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года</w:t>
      </w:r>
    </w:p>
    <w:p w:rsidR="00D20975" w:rsidRPr="00FE1D90" w:rsidRDefault="00D20975" w:rsidP="00D2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proofErr w:type="spellStart"/>
      <w:r w:rsidRPr="00FE1D90">
        <w:rPr>
          <w:rFonts w:ascii="Times New Roman" w:hAnsi="Times New Roman" w:cs="Times New Roman"/>
          <w:sz w:val="24"/>
          <w:szCs w:val="24"/>
        </w:rPr>
        <w:t>Миаского</w:t>
      </w:r>
      <w:proofErr w:type="spellEnd"/>
      <w:r w:rsidRPr="00FE1D90">
        <w:rPr>
          <w:rFonts w:ascii="Times New Roman" w:hAnsi="Times New Roman" w:cs="Times New Roman"/>
          <w:sz w:val="24"/>
          <w:szCs w:val="24"/>
        </w:rPr>
        <w:t xml:space="preserve"> городского округа в 2022 году была направлена на адаптацию экономики к изменившимся внешним условиям, в том числе к введенным со стороны недружественных государств санкциям, социальную защиту граждан, а также создание условий для дальнейшего роста экономики, включая реализацию масштабных инфраструктурных проектов.</w:t>
      </w:r>
    </w:p>
    <w:p w:rsidR="00304431" w:rsidRPr="00FE1D90" w:rsidRDefault="00D20975" w:rsidP="00D2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lastRenderedPageBreak/>
        <w:t xml:space="preserve">Комплекс мероприятий, реализованных в целях поддержки экономики и граждан, обеспечил в 2022 году своевременное и полное </w:t>
      </w:r>
      <w:proofErr w:type="gramStart"/>
      <w:r w:rsidRPr="00FE1D90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FE1D90">
        <w:rPr>
          <w:rFonts w:ascii="Times New Roman" w:hAnsi="Times New Roman" w:cs="Times New Roman"/>
          <w:sz w:val="24"/>
          <w:szCs w:val="24"/>
        </w:rPr>
        <w:t xml:space="preserve"> как плановых расходных обязательств Округа, так и возникших дополнительно в связи с геополитической обстановкой. </w:t>
      </w:r>
    </w:p>
    <w:p w:rsidR="00B20A08" w:rsidRPr="00FE1D90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целях обеспечения выполнения возложенных на Миасский городской округ полномочий, в Округе </w:t>
      </w:r>
      <w:r w:rsidR="00F72A4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:rsidR="00B20A08" w:rsidRPr="00FE1D90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инвентаризация расходных обязательств и установлена приоритетность расходования бюджетных средств. В ходе проведенной работы определены направления для перераспределения средств на более значимые расходы; </w:t>
      </w:r>
    </w:p>
    <w:p w:rsidR="00B20A08" w:rsidRPr="00FE1D90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расходо</w:t>
      </w:r>
      <w:r w:rsidR="009F7FB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бюджета Округа осуществля</w:t>
      </w:r>
      <w:r w:rsidR="00226A72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F11C7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proofErr w:type="spellStart"/>
      <w:r w:rsidR="00F11C7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эффективности бюджетных расходов.</w:t>
      </w:r>
    </w:p>
    <w:p w:rsidR="00F72A47" w:rsidRPr="00FE1D90" w:rsidRDefault="00F72A47" w:rsidP="00F7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за 2022 год исполнен: </w:t>
      </w:r>
    </w:p>
    <w:p w:rsidR="00F72A47" w:rsidRPr="00FE1D90" w:rsidRDefault="009F7FBD" w:rsidP="00F7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</w:t>
      </w:r>
      <w:r w:rsidR="00F72A4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7968811,3 тыс. рублей, или на 99,0 % от уточненного бюджета Округа;</w:t>
      </w:r>
    </w:p>
    <w:p w:rsidR="00F72A47" w:rsidRPr="00FE1D90" w:rsidRDefault="00F72A47" w:rsidP="00F7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в сумме  7989785,0 тыс. рублей, или на 98,5 % от уточненного бюджета Округа;</w:t>
      </w:r>
    </w:p>
    <w:p w:rsidR="00F72A47" w:rsidRPr="00FE1D90" w:rsidRDefault="00F72A47" w:rsidP="00F7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– 20973,7 тыс. рублей, или на 35,2 % от уточненного бюджета.</w:t>
      </w:r>
    </w:p>
    <w:p w:rsidR="00F72A47" w:rsidRPr="00FE1D90" w:rsidRDefault="00226A72" w:rsidP="00B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бюджет сохранил свою социальную направленность. </w:t>
      </w:r>
      <w:r w:rsidR="00F72A4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социальную сферу в 2022 году составили  5831923,7 тыс. рублей, или 73,0% от общего объема расходов. </w:t>
      </w:r>
    </w:p>
    <w:p w:rsidR="00BC4BD3" w:rsidRPr="00FE1D90" w:rsidRDefault="00F72A47" w:rsidP="00B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расходы в сфере экономики (жилищно-коммун</w:t>
      </w:r>
      <w:r w:rsidR="00BC4B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хозяйство, транспорт, до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рожное хозяйство, и т.д.) направлено 1803438,3 тыс. рублей, или 22,6 % от общего объема расходов. </w:t>
      </w:r>
    </w:p>
    <w:p w:rsidR="00BC4BD3" w:rsidRPr="00FE1D90" w:rsidRDefault="00BC4BD3" w:rsidP="00B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выплату заработной платы и начисления в отчетном периоде направлено  3260753,5 тыс. рублей, или 40,8% от общего объема расходов отчетного периода. Увеличение расходов к уровню 2021 года на 328787,5 тыс. рублей. Основные причины: изменение индикативных показателей средней заработной платы  отдельных категорий работников бюджетной сферы, установленных Указами Президента и распоряжением Правительства Челябинской области, обеспечение доведения заработной платы </w:t>
      </w:r>
      <w:proofErr w:type="gramStart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МРОТ</w:t>
      </w:r>
      <w:proofErr w:type="gramEnd"/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01.01.2022 года и с 01.06.2022 года, повышение заработной платы прочим категориям работников с 01.10.2021 года и с 01.04.2022г.</w:t>
      </w:r>
    </w:p>
    <w:p w:rsidR="00BC4BD3" w:rsidRPr="00FE1D90" w:rsidRDefault="00BC4BD3" w:rsidP="00B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состоянию на 01.01.2023 года просроченная задолженность по заработной плате отсутствовала.</w:t>
      </w:r>
    </w:p>
    <w:p w:rsidR="00F95F71" w:rsidRPr="00FE1D90" w:rsidRDefault="00BC4BD3" w:rsidP="00BC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99,4 % расходов бюджета Округа произведено по целевым программам, или на сумму 7942074,2 тыс. рублей, из них на реализацию мероприятий по национальным проектам направлено 636806,2 тыс. рублей, что составило 8,0 % от суммы программных расходов.</w:t>
      </w:r>
    </w:p>
    <w:p w:rsidR="00CC4612" w:rsidRPr="00FE1D90" w:rsidRDefault="00CC4612" w:rsidP="00EC6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BC4B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</w:t>
      </w:r>
      <w:r w:rsidR="00243BE2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 отсутств</w:t>
      </w:r>
      <w:r w:rsidR="00F95F7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AB3" w:rsidRPr="00FE1D90" w:rsidRDefault="00101AB3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поручительства в 20</w:t>
      </w:r>
      <w:r w:rsidR="00F95F7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B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предоставлялись.</w:t>
      </w:r>
    </w:p>
    <w:p w:rsidR="003E6D29" w:rsidRPr="00FE1D90" w:rsidRDefault="0097416F" w:rsidP="0010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финансов Челябинской области ежегодно проводится </w:t>
      </w:r>
      <w:r w:rsidR="000C3BA9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управления муниципальными финансами. По итогам 20</w:t>
      </w:r>
      <w:r w:rsidR="00F95F7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A4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C3BA9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Миасский городской округ отнесен к муниципалитетам с высоким качеством управления финансами</w:t>
      </w:r>
      <w:r w:rsidR="00BC4BD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DFC" w:rsidRPr="00FE1D90" w:rsidRDefault="00F90DFC" w:rsidP="00F90DF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Бюджетные назначения по доходам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9 месяцев 2023 года исполнены в сумме 4881521,3</w:t>
      </w:r>
      <w:r w:rsidRPr="00FE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что составляет 64,9 % от уточненного плана в сумме 7518098,4 тыс. рублей.</w:t>
      </w:r>
      <w:r w:rsidRPr="00FE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Рост к аналогичному периоду прошлого года составил 7,3%,</w:t>
      </w:r>
      <w:r w:rsidRPr="00FE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1D90">
        <w:rPr>
          <w:rFonts w:ascii="Times New Roman" w:hAnsi="Times New Roman" w:cs="Times New Roman"/>
          <w:color w:val="000000" w:themeColor="text1"/>
          <w:sz w:val="24"/>
          <w:szCs w:val="24"/>
        </w:rPr>
        <w:t>или 333574,5 тыс. рублей.</w:t>
      </w:r>
    </w:p>
    <w:p w:rsidR="00BC4BD3" w:rsidRPr="00FE1D90" w:rsidRDefault="00BC4BD3" w:rsidP="00B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Миасского городского округа исполнена в сумме 4813260,1 тыс. рублей,  при уточненном бюджете Округа на 2023 год в сумме 7655968,1 тыс. рублей, или на 62,9%. Увеличение расходов  к уровню  2022 года составило 5,4 %, или 247603,7 тыс. рублей.</w:t>
      </w:r>
    </w:p>
    <w:p w:rsidR="00F90DFC" w:rsidRPr="00FE1D90" w:rsidRDefault="00F90DFC" w:rsidP="00F90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на социальную сферу за 9 месяцев  2023 года составили  3788835,5 тыс. рублей, или 79,0% от общего объема расходов. Доля расходов на финансирование социальной сферы за 9 месяцев  2022 года составляла 71 %, или 3245098,1 тыс. рублей в общей сумме расходов бюджета Округа. 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причины увеличения расходов на социальную сферу в целом: увеличение заработной платы в связи с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изменением индикативных показателей средней заработной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платы  отдельных категорий работников, установленных Указами Президента, обеспечением доведения заработной платы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01.01.2023 года; выделение средств из областного и местного бюджетов на проведение капитальных ремонтов в учреждениях социальной сферы (ДК «Динамо», школы № 17, № 28, № 42, ДДТ «Юность», стадион «Заря» и др.), замену окон в образовательны</w:t>
      </w:r>
      <w:r w:rsidR="00F11C7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учреждениях, обустройство </w:t>
      </w:r>
      <w:proofErr w:type="spellStart"/>
      <w:r w:rsidR="00F11C7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</w:t>
      </w:r>
      <w:proofErr w:type="spellEnd"/>
      <w:r w:rsidR="00F11C7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 на стадионе «Труд» и т.д.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hAnsi="Times New Roman" w:cs="Times New Roman"/>
          <w:sz w:val="24"/>
          <w:szCs w:val="24"/>
          <w:lang w:eastAsia="ru-RU"/>
        </w:rPr>
        <w:t xml:space="preserve">На расходы в сфере экономики (жилищно-коммунальное хозяйство, транспорт, дорожное хозяйство, строительство) направлено за 9 месяцев 2023 года 778064,7 тыс. рублей, или 16% от общего объема расходов. В 2022 году, за соответствующий период показатели составляли соответственно 1089529,7 тыс. рублей  и 24 %. 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hAnsi="Times New Roman" w:cs="Times New Roman"/>
          <w:sz w:val="24"/>
          <w:szCs w:val="24"/>
          <w:lang w:eastAsia="ru-RU"/>
        </w:rPr>
        <w:t>Основная причина снижения расходов по данному направлению в 2023 году на 28,6%, или на сумму 311465,0 тыс. рублей - уменьшение объема межбюджетных трансфертов на обеспечение мероприятий  по переселению граждан из аварийного жилищного фонда (в 2022 году расходы за отчетный период составили 393736,7 тыс. рублей, а в 2023 году – 38957,7 тыс. рублей, при плановых назначениях на 2022 год – 539744,0 тыс. рублей, на</w:t>
      </w:r>
      <w:proofErr w:type="gramEnd"/>
      <w:r w:rsidRPr="00FE1D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D90">
        <w:rPr>
          <w:rFonts w:ascii="Times New Roman" w:hAnsi="Times New Roman" w:cs="Times New Roman"/>
          <w:sz w:val="24"/>
          <w:szCs w:val="24"/>
          <w:lang w:eastAsia="ru-RU"/>
        </w:rPr>
        <w:t>2023 год – 53845,6 тыс. рублей).</w:t>
      </w:r>
      <w:proofErr w:type="gramEnd"/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выплату заработной платы и начисления в отчетном периоде направлено  2451856,9 тыс. рублей, или 51% от общего объема расходов отчетного периода. За 2022 год  эти показатели соответственно составили 2149901,4 тыс. рублей и 47%.  Увеличение расходов к уровню 2022 года на 301955,5 тыс. рублей. Основные причины: изменение индикативных показателей средней заработной платы  отдельных категорий работников бюджетной сферы, установленных Указами Президента и распоряжением Правительства Челябинской области, обеспечение доведения заработной платы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01.01.2023 года, повышение заработной платы прочим категориям работников с 01.10.2022 года, с 01.04.2022г. и с 01.03.2023 года.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01.10.2023 года просроченная задолженность по заработной плате отсутствует. </w:t>
      </w:r>
    </w:p>
    <w:p w:rsidR="00F90DFC" w:rsidRPr="00FE1D90" w:rsidRDefault="00F90DFC" w:rsidP="0026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99,4 % расходов бюджета Округа произведено по целевым программам, или на сумму 4785430,9 тыс. рублей, из них на реализацию мероприятий по национальным проектам направлено 138468,1 тыс. рублей, что составило 3 % от суммы программных расходов.  За 9 месяцев  2022 года процент охвата расходов Округа всеми видами целевых программ составил так же  99,4 %, или 4536744,8 тыс. рублей, из них на реализацию мероприятий по национальным проектам направлено 455606,5 тыс. рублей. </w:t>
      </w:r>
    </w:p>
    <w:p w:rsidR="0026504A" w:rsidRPr="00FE1D90" w:rsidRDefault="0026504A" w:rsidP="0026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01.10.202</w:t>
      </w:r>
      <w:r w:rsidR="00F90DF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муниципальный долг отсутствует. Гарантии и поручительства за 9 месяцев 202</w:t>
      </w:r>
      <w:r w:rsidR="00F90DF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предоставлялись.</w:t>
      </w:r>
    </w:p>
    <w:p w:rsidR="00C2784D" w:rsidRPr="00FE1D90" w:rsidRDefault="001F22BB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непростых финансовых условиях особое внимание уделяется </w:t>
      </w:r>
      <w:r w:rsidR="00C2784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C2784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бюджетных средств.</w:t>
      </w:r>
      <w:r w:rsidR="00C2784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784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C2784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работа: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исполнения защищенных статей бюджета;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осуществлению контроля выполнения индикативных показателей средней заработной платы отдельных категорий работников бюджетной сферы, установленных Указами Президента и Постановлением Правительства Челябинской области, обеспечению доведения заработной платы до минимального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DFC" w:rsidRPr="00FE1D90" w:rsidRDefault="00F90DFC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проведению мониторинга кредиторской задолженности и основных показателей бюджета Округа (результат исполнения – отсутствие на 01.10.2023 года просроченной кредиторской задолженности).</w:t>
      </w:r>
    </w:p>
    <w:p w:rsidR="00C3642D" w:rsidRPr="00FE1D90" w:rsidRDefault="00E67C30" w:rsidP="00F9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Плана мероприятий по росту доходного потенциала и повышению эффективности расходов бюджета Миасского городского округа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</w:t>
      </w:r>
      <w:r w:rsidR="00BB1CF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лила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наличие собственных средств на счете бюджета </w:t>
      </w:r>
      <w:r w:rsidR="000A78B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объеме, необходимом для финансового обеспечения расходов,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свою очередь также снизило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</w:t>
      </w:r>
      <w:r w:rsidR="00AD57C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в кредитных ресурсах, привлекаемых для покрытия временных кассовых разрывов.</w:t>
      </w:r>
    </w:p>
    <w:p w:rsidR="00C3642D" w:rsidRPr="00FE1D90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="00AD57C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AE72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D57C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</w:t>
      </w:r>
      <w:r w:rsidR="00AE72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57C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A8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</w:t>
      </w:r>
      <w:r w:rsidR="00AE72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3A8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E3A8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муниципальными финансами </w:t>
      </w:r>
      <w:r w:rsidR="009E3A8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1D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иасского городского округа.</w:t>
      </w:r>
      <w:r w:rsidR="009E3A8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642D" w:rsidRPr="00FE1D90" w:rsidRDefault="00C3642D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направления бюджетной </w:t>
      </w:r>
      <w:proofErr w:type="gramStart"/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политики на</w:t>
      </w:r>
      <w:proofErr w:type="gramEnd"/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предстоящий период</w:t>
      </w:r>
    </w:p>
    <w:p w:rsidR="00FD7055" w:rsidRPr="00FE1D90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предстоящий  период 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05728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в рамках достижения цели бюджетной политики</w:t>
      </w:r>
      <w:r w:rsidR="00F10E4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сохранения преемственности,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A32CD" w:rsidRPr="00FE1D90" w:rsidRDefault="00A75EE9" w:rsidP="008F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социальной направленности</w:t>
      </w:r>
      <w:r w:rsidRPr="00FE1D90">
        <w:rPr>
          <w:rFonts w:ascii="Times New Roman" w:hAnsi="Times New Roman" w:cs="Times New Roman"/>
          <w:sz w:val="24"/>
          <w:szCs w:val="24"/>
        </w:rPr>
        <w:t xml:space="preserve"> и </w:t>
      </w:r>
      <w:r w:rsidR="007A32CD" w:rsidRPr="00FE1D90">
        <w:rPr>
          <w:rFonts w:ascii="Times New Roman" w:hAnsi="Times New Roman" w:cs="Times New Roman"/>
          <w:sz w:val="24"/>
          <w:szCs w:val="24"/>
        </w:rPr>
        <w:t>уровня расходных обязательств Округа по всем первоочередным и социально-значимым направлениям расходов</w:t>
      </w:r>
      <w:r w:rsidRPr="00FE1D90">
        <w:rPr>
          <w:rFonts w:ascii="Times New Roman" w:hAnsi="Times New Roman" w:cs="Times New Roman"/>
          <w:sz w:val="24"/>
          <w:szCs w:val="24"/>
        </w:rPr>
        <w:t>, в том числе вновь принятым в 2023 году</w:t>
      </w:r>
      <w:r w:rsidR="007A32CD" w:rsidRPr="00FE1D90">
        <w:rPr>
          <w:rFonts w:ascii="Times New Roman" w:hAnsi="Times New Roman" w:cs="Times New Roman"/>
          <w:sz w:val="24"/>
          <w:szCs w:val="24"/>
        </w:rPr>
        <w:t>;</w:t>
      </w:r>
    </w:p>
    <w:p w:rsidR="00A75EE9" w:rsidRPr="00FE1D90" w:rsidRDefault="00A75EE9" w:rsidP="008F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дальнейшая модернизация образовательной, культурной и спортивной инфраструктуры в Округе, укрепление кадрового потенциала в данных сферах;</w:t>
      </w:r>
    </w:p>
    <w:p w:rsidR="00A75EE9" w:rsidRPr="00FE1D90" w:rsidRDefault="00A75EE9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военнослужащих, мобилизованных, добровольцев – участников специальной военной операции, а также членов их семей</w:t>
      </w:r>
      <w:r w:rsidR="00F10E4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возложенных на Округ полномочий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EE9" w:rsidRPr="00FE1D90" w:rsidRDefault="00A75EE9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для реализации масштабных инфраструктурных проектов в транспортной, инженерной и социальной сферах, направленных на повышение качества жизни граждан, а также повышение инвестиционной привлекательности Округа;</w:t>
      </w:r>
      <w:proofErr w:type="gramEnd"/>
    </w:p>
    <w:p w:rsidR="00B61DC4" w:rsidRPr="00FE1D90" w:rsidRDefault="00B61DC4" w:rsidP="008F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популяризация туристического потенциала Округа. </w:t>
      </w:r>
      <w:r w:rsidR="0096625C" w:rsidRPr="00FE1D90">
        <w:rPr>
          <w:rFonts w:ascii="Times New Roman" w:hAnsi="Times New Roman" w:cs="Times New Roman"/>
          <w:sz w:val="24"/>
          <w:szCs w:val="24"/>
        </w:rPr>
        <w:t>Привлечение</w:t>
      </w:r>
      <w:r w:rsidRPr="00FE1D90">
        <w:rPr>
          <w:rFonts w:ascii="Times New Roman" w:hAnsi="Times New Roman" w:cs="Times New Roman"/>
          <w:sz w:val="24"/>
          <w:szCs w:val="24"/>
        </w:rPr>
        <w:t xml:space="preserve"> инвесторов, </w:t>
      </w:r>
      <w:r w:rsidR="0096625C" w:rsidRPr="00FE1D90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r w:rsidRPr="00FE1D90">
        <w:rPr>
          <w:rFonts w:ascii="Times New Roman" w:hAnsi="Times New Roman" w:cs="Times New Roman"/>
          <w:sz w:val="24"/>
          <w:szCs w:val="24"/>
        </w:rPr>
        <w:t>созда</w:t>
      </w:r>
      <w:r w:rsidR="0096625C" w:rsidRPr="00FE1D90">
        <w:rPr>
          <w:rFonts w:ascii="Times New Roman" w:hAnsi="Times New Roman" w:cs="Times New Roman"/>
          <w:sz w:val="24"/>
          <w:szCs w:val="24"/>
        </w:rPr>
        <w:t>нии</w:t>
      </w:r>
      <w:r w:rsidRPr="00FE1D90">
        <w:rPr>
          <w:rFonts w:ascii="Times New Roman" w:hAnsi="Times New Roman" w:cs="Times New Roman"/>
          <w:sz w:val="24"/>
          <w:szCs w:val="24"/>
        </w:rPr>
        <w:t xml:space="preserve"> туристическ</w:t>
      </w:r>
      <w:r w:rsidR="0096625C" w:rsidRPr="00FE1D90">
        <w:rPr>
          <w:rFonts w:ascii="Times New Roman" w:hAnsi="Times New Roman" w:cs="Times New Roman"/>
          <w:sz w:val="24"/>
          <w:szCs w:val="24"/>
        </w:rPr>
        <w:t>ой</w:t>
      </w:r>
      <w:r w:rsidRPr="00FE1D90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96625C" w:rsidRPr="00FE1D90">
        <w:rPr>
          <w:rFonts w:ascii="Times New Roman" w:hAnsi="Times New Roman" w:cs="Times New Roman"/>
          <w:sz w:val="24"/>
          <w:szCs w:val="24"/>
        </w:rPr>
        <w:t>ы</w:t>
      </w:r>
      <w:r w:rsidRPr="00FE1D90">
        <w:rPr>
          <w:rFonts w:ascii="Times New Roman" w:hAnsi="Times New Roman" w:cs="Times New Roman"/>
          <w:sz w:val="24"/>
          <w:szCs w:val="24"/>
        </w:rPr>
        <w:t>, в том числе с привлечением федерального финансирования;</w:t>
      </w:r>
    </w:p>
    <w:p w:rsidR="0094795E" w:rsidRPr="00FE1D90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более широкого круга заинтересованных граждан, участвующих в решении вопросов благоустройства и создания комфортной городской среды</w:t>
      </w:r>
      <w:r w:rsidR="0083180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0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дальнейшей реализации программ инициативного бюджетирования</w:t>
      </w:r>
      <w:r w:rsidR="00B361A4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A4" w:rsidRPr="00FE1D90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 с региональными органами исполнительной власти в целях привлечения максимально возможного объема областных средств, в том числе в рамках реализации мероприятий государственных программ;</w:t>
      </w:r>
    </w:p>
    <w:p w:rsidR="00B361A4" w:rsidRPr="00FE1D90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административно-управленческой деятельности органов местного самоуправления Миасского городского округа</w:t>
      </w:r>
      <w:proofErr w:type="gramEnd"/>
      <w:r w:rsidR="00FA3F0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9CF" w:rsidRPr="00FE1D90" w:rsidRDefault="00FE69CF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экономики, включая мал</w:t>
      </w:r>
      <w:r w:rsidR="0042209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</w:t>
      </w:r>
      <w:r w:rsidR="0042209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бизнес, реализующи</w:t>
      </w:r>
      <w:r w:rsidR="0042209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A75EE9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технологического суверенитета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42D" w:rsidRPr="00FE1D90" w:rsidRDefault="00C3642D" w:rsidP="009D67B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подходы к планированию бюджетных ассигнований и</w:t>
      </w:r>
      <w:r w:rsidR="009D67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приоритеты бюджетных расходов</w:t>
      </w:r>
      <w:r w:rsidR="000B5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D67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2024-2026 годы</w:t>
      </w:r>
    </w:p>
    <w:p w:rsidR="00C3642D" w:rsidRPr="00FE1D90" w:rsidRDefault="00875D53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882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формирования расходной части  бюджета Миасского городского округа </w:t>
      </w:r>
      <w:r w:rsidR="00BB4BE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207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07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обусловлены</w:t>
      </w:r>
      <w:r w:rsidR="007E578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2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78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410" w:rsidRPr="00FE1D90" w:rsidRDefault="007E5786" w:rsidP="00A67BCF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 расходов бюджета Миасского городского округа  с учетом прогнозируемой экономической ситуации</w:t>
      </w:r>
      <w:r w:rsidR="0031119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выполнения обязательств</w:t>
      </w:r>
      <w:r w:rsidR="00A67BC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19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C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в рамках соглашений с Минфином Челябинской области «О мерах по социально-экономическому развитию и оздоровлению муниципальных финансов </w:t>
      </w:r>
      <w:proofErr w:type="spellStart"/>
      <w:r w:rsidR="00A67BC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A67BC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Челябинской области»;</w:t>
      </w:r>
    </w:p>
    <w:p w:rsidR="00311190" w:rsidRPr="00FE1D90" w:rsidRDefault="00311190" w:rsidP="0096625C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5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 в реализации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проектов согласно параметрам паспортов федеральных проектов, входящих в состав национальных проектов, в соответствии Указом Президента Российской Федерации «О национальных целях развития Российской Федерации на период до 2030 года» от 21.07.2020 г. № 474;</w:t>
      </w:r>
      <w:r w:rsidR="000B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5786" w:rsidRPr="00FE1D90" w:rsidRDefault="00D33410" w:rsidP="00D33410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достигнутого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целевых показателей Указов Президента Российской Федерации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в части оплаты труда работников бюджетного сектора, а также обеспечения минимального размера оплаты труда в соответствии с Федеральным законом «О минимальном размере оплаты труда»;</w:t>
      </w:r>
    </w:p>
    <w:p w:rsidR="00D33410" w:rsidRPr="00FE1D90" w:rsidRDefault="00D33410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безусловного исполнения публичных нормативных обязательств и иных социальных обязательств Округа;</w:t>
      </w:r>
    </w:p>
    <w:p w:rsidR="00D33410" w:rsidRPr="00FE1D90" w:rsidRDefault="00D33410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финансирования мероприятий по предотвращению и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объеме не менее доходов бюджета Округа, поступающих от платежей за правонарушения в области охраны окружающей среды и природопользования;</w:t>
      </w:r>
    </w:p>
    <w:p w:rsidR="00B02994" w:rsidRPr="00FE1D90" w:rsidRDefault="00B02994" w:rsidP="00C3642D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мнения граждан (путем проведения открытого голосования или конкурсного отбора) на реализацию мероприятий по благоустройству городской среды, проведение культурных и спортивных мероприятий, обустройство объектов социальной инфраструктуры и прилегающих к ним территорий, и обеспечения направления на  осуществление этих мероприятий не менее пяти процентов расходов бюджета Округа, в первую очередь по вышеуказанным направлениям расходов;</w:t>
      </w:r>
      <w:proofErr w:type="gramEnd"/>
    </w:p>
    <w:p w:rsidR="00C3642D" w:rsidRPr="00FE1D90" w:rsidRDefault="00EE2D26" w:rsidP="00C3642D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бюджетных ассигнований с учетом:</w:t>
      </w:r>
    </w:p>
    <w:p w:rsidR="00432091" w:rsidRPr="00FE1D90" w:rsidRDefault="00170D26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3209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</w:t>
      </w:r>
      <w:proofErr w:type="gramStart"/>
      <w:r w:rsidR="0043209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оплаты труда работников организаций бюджетной сферы</w:t>
      </w:r>
      <w:proofErr w:type="gramEnd"/>
      <w:r w:rsidR="0043209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3729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209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достигнутых целевых показателей, определенных Указами Президента</w:t>
      </w:r>
      <w:r w:rsidR="00163B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2012 года</w:t>
      </w:r>
      <w:r w:rsidR="0043209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0D26" w:rsidRPr="00FE1D90" w:rsidRDefault="00170D26" w:rsidP="0042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212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фондов оплаты труда </w:t>
      </w:r>
      <w:r w:rsidR="0096625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сети</w:t>
      </w:r>
      <w:r w:rsid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96625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A67BC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091" w:rsidRPr="00FE1D90" w:rsidRDefault="00D33410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установления минимального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изменениями в Федеральный закон «О минимальном размере оплаты труда»</w:t>
      </w:r>
      <w:r w:rsidR="00163B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064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42D" w:rsidRPr="00FE1D90" w:rsidRDefault="00432091" w:rsidP="00C6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индексации размеров социальных выплат с учетом уровня инфляции и роста жилищно-коммунальных тарифов в случаях, напрямую предусмотренных </w:t>
      </w:r>
      <w:r w:rsidR="00FA0D9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</w:t>
      </w:r>
      <w:r w:rsidR="00C3642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и Миасского городского округа;</w:t>
      </w:r>
    </w:p>
    <w:p w:rsidR="00C3642D" w:rsidRPr="00FE1D90" w:rsidRDefault="00581A0D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увеличения бюджетных ассигнований в связи с принятием в </w:t>
      </w:r>
      <w:r w:rsidR="00A67BCF" w:rsidRPr="00FE1D90">
        <w:rPr>
          <w:rFonts w:ascii="Times New Roman" w:eastAsia="Calibri" w:hAnsi="Times New Roman" w:cs="Times New Roman"/>
          <w:color w:val="000000"/>
          <w:sz w:val="24"/>
          <w:szCs w:val="24"/>
        </w:rPr>
        <w:t>2023 году</w:t>
      </w:r>
      <w:r w:rsidRPr="00FE1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расходных обязательств, действие которых распространяется на планируемый период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969" w:rsidRPr="00FE1D90" w:rsidRDefault="00C81969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исполнения</w:t>
      </w:r>
      <w:r w:rsidR="007E578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контрактов</w:t>
      </w:r>
      <w:r w:rsidR="007E578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заключенных в 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581A0D" w:rsidRPr="00FE1D90" w:rsidRDefault="00581A0D" w:rsidP="00C662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E1D90">
        <w:rPr>
          <w:rFonts w:ascii="Times New Roman" w:eastAsia="Calibri" w:hAnsi="Times New Roman" w:cs="Times New Roman"/>
          <w:color w:val="000000"/>
          <w:sz w:val="24"/>
          <w:szCs w:val="24"/>
        </w:rPr>
        <w:t>уменьшения объемов бюджетных ассигнований по расходным обязательствам ограниченного срока действия.</w:t>
      </w:r>
    </w:p>
    <w:p w:rsidR="00127FC7" w:rsidRPr="00FE1D90" w:rsidRDefault="00017053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структуры и объемов бюджетных ассигнований сохраняется курс на преемственность приоритетов бюджетных расходов.</w:t>
      </w:r>
      <w:r w:rsidR="00127FC7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994" w:rsidRPr="00FE1D90" w:rsidRDefault="00127FC7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предыдущие годы, расходная часть местного бюджета сохранит свою социальную направленность.</w:t>
      </w:r>
    </w:p>
    <w:p w:rsidR="00B02994" w:rsidRPr="00FE1D90" w:rsidRDefault="00B02994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</w:t>
      </w:r>
      <w:r w:rsidR="00464C0C"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политика в сфере образования</w:t>
      </w:r>
    </w:p>
    <w:p w:rsidR="00B02994" w:rsidRPr="00FE1D90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предстоящей среднесрочной перспективе в числе приоритетных продолжится реализация мероприятий, направленных на обеспечение равных возможностей для получения качественных образовательных услуг, а также дальнейшего развития инфраструктуры общеобразовательных и дошкольных учреждений.</w:t>
      </w:r>
    </w:p>
    <w:p w:rsidR="0040459E" w:rsidRPr="00FE1D90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ресурсы сконцентрированы на таких направлениях, как</w:t>
      </w:r>
      <w:r w:rsidR="0040459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994" w:rsidRPr="00FE1D90" w:rsidRDefault="0040459E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F0C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модернизации школьных систем образования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59E" w:rsidRPr="00FE1D90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1D90">
        <w:rPr>
          <w:rFonts w:ascii="Times New Roman" w:hAnsi="Times New Roman" w:cs="Times New Roman"/>
          <w:sz w:val="24"/>
          <w:szCs w:val="24"/>
        </w:rPr>
        <w:t xml:space="preserve">создания условий для </w:t>
      </w:r>
      <w:r w:rsidR="00A75B65" w:rsidRPr="00FE1D90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FE1D90">
        <w:rPr>
          <w:rFonts w:ascii="Times New Roman" w:hAnsi="Times New Roman" w:cs="Times New Roman"/>
          <w:sz w:val="24"/>
          <w:szCs w:val="24"/>
        </w:rPr>
        <w:t xml:space="preserve">учебного процесса, включая </w:t>
      </w:r>
      <w:r w:rsidR="007A7EB6" w:rsidRPr="00FE1D90">
        <w:rPr>
          <w:rFonts w:ascii="Times New Roman" w:hAnsi="Times New Roman" w:cs="Times New Roman"/>
          <w:sz w:val="24"/>
          <w:szCs w:val="24"/>
        </w:rPr>
        <w:t xml:space="preserve">строительство (подготовка проектно-сметной и проектно-изыскательной документации), </w:t>
      </w:r>
      <w:r w:rsidR="00A75B65" w:rsidRPr="00FE1D9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E1D90">
        <w:rPr>
          <w:rFonts w:ascii="Times New Roman" w:hAnsi="Times New Roman" w:cs="Times New Roman"/>
          <w:sz w:val="24"/>
          <w:szCs w:val="24"/>
        </w:rPr>
        <w:t>ремонтов муниципальных общеобразовательных</w:t>
      </w:r>
      <w:r w:rsidR="00A75B65" w:rsidRPr="00FE1D90">
        <w:rPr>
          <w:rFonts w:ascii="Times New Roman" w:hAnsi="Times New Roman" w:cs="Times New Roman"/>
          <w:sz w:val="24"/>
          <w:szCs w:val="24"/>
        </w:rPr>
        <w:t xml:space="preserve"> и дошкольных образовательных</w:t>
      </w:r>
      <w:r w:rsidRPr="00FE1D9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75B65" w:rsidRPr="00FE1D90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Pr="00FE1D90">
        <w:rPr>
          <w:rFonts w:ascii="Times New Roman" w:hAnsi="Times New Roman" w:cs="Times New Roman"/>
          <w:sz w:val="24"/>
          <w:szCs w:val="24"/>
        </w:rPr>
        <w:t xml:space="preserve"> обновление оборудования;</w:t>
      </w:r>
    </w:p>
    <w:p w:rsidR="0040459E" w:rsidRPr="00FE1D90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1D90">
        <w:rPr>
          <w:rFonts w:ascii="Times New Roman" w:hAnsi="Times New Roman" w:cs="Times New Roman"/>
          <w:sz w:val="24"/>
          <w:szCs w:val="24"/>
        </w:rPr>
        <w:t>обеспечение</w:t>
      </w:r>
      <w:r w:rsidR="00A75B65" w:rsidRPr="00FE1D90">
        <w:rPr>
          <w:rFonts w:ascii="Times New Roman" w:hAnsi="Times New Roman" w:cs="Times New Roman"/>
          <w:sz w:val="24"/>
          <w:szCs w:val="24"/>
        </w:rPr>
        <w:t xml:space="preserve"> молоком и</w:t>
      </w:r>
      <w:r w:rsidRPr="00FE1D90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A75B65" w:rsidRPr="00FE1D90">
        <w:rPr>
          <w:rFonts w:ascii="Times New Roman" w:hAnsi="Times New Roman" w:cs="Times New Roman"/>
          <w:sz w:val="24"/>
          <w:szCs w:val="24"/>
        </w:rPr>
        <w:t>ым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горяч</w:t>
      </w:r>
      <w:r w:rsidR="00A75B65" w:rsidRPr="00FE1D90">
        <w:rPr>
          <w:rFonts w:ascii="Times New Roman" w:hAnsi="Times New Roman" w:cs="Times New Roman"/>
          <w:sz w:val="24"/>
          <w:szCs w:val="24"/>
        </w:rPr>
        <w:t>им</w:t>
      </w:r>
      <w:r w:rsidRPr="00FE1D90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A75B65" w:rsidRPr="00FE1D90">
        <w:rPr>
          <w:rFonts w:ascii="Times New Roman" w:hAnsi="Times New Roman" w:cs="Times New Roman"/>
          <w:sz w:val="24"/>
          <w:szCs w:val="24"/>
        </w:rPr>
        <w:t>ем</w:t>
      </w:r>
      <w:r w:rsidRPr="00FE1D90">
        <w:rPr>
          <w:rFonts w:ascii="Times New Roman" w:hAnsi="Times New Roman" w:cs="Times New Roman"/>
          <w:sz w:val="24"/>
          <w:szCs w:val="24"/>
        </w:rPr>
        <w:t xml:space="preserve"> обучающихся, получающих начальное общее образование в муниципальных общеобразовательных организациях;</w:t>
      </w:r>
      <w:proofErr w:type="gramEnd"/>
    </w:p>
    <w:p w:rsidR="004E1F0C" w:rsidRPr="00FE1D90" w:rsidRDefault="004E1F0C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обеспечение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организаций;</w:t>
      </w:r>
    </w:p>
    <w:p w:rsidR="007A7EB6" w:rsidRPr="00FE1D90" w:rsidRDefault="007A7EB6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патриотическое воспитание, поддержку проектов направленных на сохранение исторической памяти.</w:t>
      </w:r>
    </w:p>
    <w:p w:rsidR="0040459E" w:rsidRPr="00FE1D90" w:rsidRDefault="00A75B65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организаций отдыха и оздоровления детей, увеличение охвата детей, получающих услуги этих организаций</w:t>
      </w:r>
      <w:r w:rsidR="00B5666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00E" w:rsidRPr="00FE1D90" w:rsidRDefault="0003500E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Бюджетная политика в сфере</w:t>
      </w:r>
      <w:r w:rsidR="00464C0C"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социальной поддержки населения</w:t>
      </w:r>
    </w:p>
    <w:p w:rsidR="0003500E" w:rsidRPr="00FE1D90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ранее введенные </w:t>
      </w:r>
      <w:r w:rsidR="00255C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Округе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граждан сохраняются, продолжится работа по</w:t>
      </w:r>
      <w:r w:rsidR="00BE4D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дальнейшему повышению эффективности и качества, предоставляемых 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Миасского городского округа</w:t>
      </w:r>
      <w:r w:rsidR="00BE4D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услуг.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к этому, сохраняется механизм индексации отдельных мер социальной поддержки по социальным выплатам в порядке и размерах, определенных нормативными правовыми актами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Челябинской области и Миасского городского округа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4D43" w:rsidRPr="00FE1D90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Округе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продолжится реализация проектов по поддержке социально</w:t>
      </w:r>
      <w:r w:rsidR="00BE4D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5C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00E" w:rsidRPr="00FE1D90" w:rsidRDefault="00BE4D43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Бюджетная политика в сфе</w:t>
      </w:r>
      <w:r w:rsidR="00464C0C"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 физической культуры и спорта</w:t>
      </w:r>
    </w:p>
    <w:p w:rsidR="00BE4D43" w:rsidRPr="00FE1D90" w:rsidRDefault="00BE4D43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Миасском городском округе продолжится реализация мероприятий, направленных на создание необходимых условий для занятий физической культурой и спортом. В их числе:</w:t>
      </w:r>
    </w:p>
    <w:p w:rsidR="00BE4D43" w:rsidRPr="00FE1D90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занятий физической культурой и спортом, а также массовым спортом для всех категорий и групп населения</w:t>
      </w:r>
      <w:r w:rsidR="00255C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Миасского городского округа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D43" w:rsidRPr="00FE1D90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спортивным инвентарем и спортивно-технологическим оборудованием муниципальных физкультурно-спортивных организаций;</w:t>
      </w:r>
    </w:p>
    <w:p w:rsidR="00BE4D43" w:rsidRPr="00FE1D90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строительство 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5C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спортивной инфраструктуры, предназначенных для занятий физической культурой и спортом, в целях повышения уровня обеспеченности населения спортивными сооружениями</w:t>
      </w:r>
      <w:r w:rsidR="00AE72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5C51" w:rsidRPr="00FE1D90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оказания услуг физкультурно-спортивными организациями для инвалидов и иных маломобильных групп населения Миасского городского</w:t>
      </w:r>
      <w:r w:rsidR="00255C5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округа;</w:t>
      </w:r>
    </w:p>
    <w:p w:rsidR="00BE4D43" w:rsidRPr="00FE1D90" w:rsidRDefault="00255C51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0D0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занятиями физической культурой и спортом у населения Округа,</w:t>
      </w:r>
      <w:r w:rsidR="00BE4D43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жителей Округа, систематически занимающихся физической культурой и спортом.</w:t>
      </w:r>
    </w:p>
    <w:p w:rsidR="00BE4D43" w:rsidRPr="00FE1D90" w:rsidRDefault="00255C51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Бюджетная политика в сфере культуры</w:t>
      </w:r>
      <w:r w:rsidR="00464C0C"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искусства</w:t>
      </w:r>
    </w:p>
    <w:p w:rsidR="00D458AE" w:rsidRPr="00FE1D90" w:rsidRDefault="007A7EB6" w:rsidP="00C6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культурного пространства на территории Округа, в том числе и в рамках нацпроекта «Культура»</w:t>
      </w:r>
      <w:r w:rsidR="00D458A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C51" w:rsidRPr="00FE1D90" w:rsidRDefault="00D458AE" w:rsidP="0025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являются:</w:t>
      </w:r>
    </w:p>
    <w:p w:rsidR="00255C51" w:rsidRPr="00FE1D90" w:rsidRDefault="00255C51" w:rsidP="0025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</w:t>
      </w:r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комплектованию книжных фондов муниципальных библиотек</w:t>
      </w:r>
      <w:r w:rsidR="00B56666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4780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и переоборудование библиотек по модельному стандарту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6666" w:rsidRPr="00FE1D90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учреждений культуры и искусства Миасского городского округа;</w:t>
      </w:r>
    </w:p>
    <w:p w:rsidR="00BE4D43" w:rsidRPr="00FE1D90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ремонтных работ, реконструкции и модернизации объектов культуры и культурного наследия Округа</w:t>
      </w:r>
      <w:r w:rsidR="00B52B6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959" w:rsidRPr="00FE1D90" w:rsidRDefault="00464C0C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B6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в рамках проекта «Пушкинская карта», нацеленных на активное привлечение детей и молодежи в возрасте с 14 до 22 лет к изучению художественной культуры и искусства, повышение культурного уровня подрастающего поколения.</w:t>
      </w:r>
    </w:p>
    <w:p w:rsidR="00150111" w:rsidRPr="00FE1D90" w:rsidRDefault="00150111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Бюджетная политика в сферах  инфраструктурного развития, формирования комфортной городской среды и экологии</w:t>
      </w:r>
    </w:p>
    <w:p w:rsidR="00150111" w:rsidRPr="00FE1D90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</w:t>
      </w: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улучшения качества жизни жителей Миасского городского округа</w:t>
      </w:r>
      <w:proofErr w:type="gram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благоприятного инвестиционного климата, особое внимание уделяется реализации проектов развития инфраструктуры.</w:t>
      </w:r>
    </w:p>
    <w:p w:rsidR="00150111" w:rsidRPr="00FE1D90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предстоящем трехлетнем периоде в числе ключевых приоритетов в этом направлении являются:</w:t>
      </w:r>
    </w:p>
    <w:p w:rsidR="00150111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программы переселения граждан из </w:t>
      </w:r>
      <w:proofErr w:type="spell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ветхоаварийного</w:t>
      </w:r>
      <w:proofErr w:type="spellEnd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жилья;</w:t>
      </w:r>
    </w:p>
    <w:p w:rsidR="00150111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модернизации объектов коммунальной инфраструктуры Миасского городского округа в целях обеспечения ее круглогодичного бесперебойного функционирования, особенно в период отопительного сезона;</w:t>
      </w:r>
    </w:p>
    <w:p w:rsidR="00150111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охвата газификацией </w:t>
      </w:r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догазификацией</w:t>
      </w:r>
      <w:proofErr w:type="spellEnd"/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домовладений)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 Округа и повышение доступности к инфраструктуре газового хозяйства;</w:t>
      </w:r>
    </w:p>
    <w:p w:rsidR="00017053" w:rsidRPr="00FE1D90" w:rsidRDefault="00017053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эксплуатационной надежности гидротехнических сооружений Округа путем их приведения к безопасному техническому состоянию</w:t>
      </w:r>
      <w:r w:rsidR="00D458A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0111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развитие сети автодорог</w:t>
      </w:r>
      <w:r w:rsidR="00B357E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местного значения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8A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ремонта, содержания</w:t>
      </w:r>
      <w:r w:rsidR="00B357EF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приведения к нормативному состоянию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09CA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09C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повышению доступности и безопасности пассажирских перевозок общественным городским  транспортом по муниципальным маршрутам Миасского городского округа, в том числе продолж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809C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D577C5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809C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обновлению троллейбусного и автобусного парков;</w:t>
      </w:r>
    </w:p>
    <w:p w:rsidR="00150111" w:rsidRPr="00FE1D90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переходу к новой системе обращения с твердыми бытовыми отходами и рекультивации городск</w:t>
      </w:r>
      <w:r w:rsidR="006809C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</w:t>
      </w:r>
      <w:r w:rsidR="006809C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0111" w:rsidRDefault="00FE1D90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комфортной среды</w:t>
      </w:r>
      <w:r w:rsidR="00150111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формы прямого участия жителей в вопросах развития территорий (инициативное бюджетирование, «Активный житель 74»), а также с обязательным учетом интересов людей с ограниченными возможностями здоровья.</w:t>
      </w:r>
    </w:p>
    <w:p w:rsidR="007E5978" w:rsidRPr="00FE1D90" w:rsidRDefault="009D67B1" w:rsidP="009D67B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продолжена работа </w:t>
      </w:r>
      <w:r w:rsid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</w:t>
      </w:r>
      <w:proofErr w:type="gramStart"/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5978" w:rsidRPr="00FE1D90" w:rsidRDefault="002B1B40" w:rsidP="002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важных отраслях бюджетной сферы;</w:t>
      </w:r>
    </w:p>
    <w:p w:rsidR="002B4780" w:rsidRPr="00FE1D90" w:rsidRDefault="002B1B40" w:rsidP="002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78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противопожарной безопасности населенных пунктов;</w:t>
      </w:r>
    </w:p>
    <w:p w:rsidR="007E5978" w:rsidRPr="00FE1D90" w:rsidRDefault="002B1B40" w:rsidP="002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безопасности на объектах социальной сферы;</w:t>
      </w:r>
    </w:p>
    <w:p w:rsidR="007E5978" w:rsidRPr="00FE1D90" w:rsidRDefault="002B1B40" w:rsidP="002B1B4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благоприятной среды для развит</w:t>
      </w:r>
      <w:r w:rsidR="00AE72F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малого и среднего предпринимательства.</w:t>
      </w:r>
    </w:p>
    <w:p w:rsidR="00150111" w:rsidRPr="00FE1D90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финансовое обеспечение реализации всех вышеуказанных приоритетов бюджетных расходов на предстоящий бюджетный период должно осуществляться с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привлечением максимально возможного </w:t>
      </w:r>
      <w:r w:rsidR="007762A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федерального </w:t>
      </w:r>
      <w:r w:rsidR="007E5978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областного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финансирования.</w:t>
      </w:r>
    </w:p>
    <w:p w:rsidR="00231FEF" w:rsidRPr="00FE1D90" w:rsidRDefault="00231FEF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Бюджетная политика в сфере управления муниципальным  долгом</w:t>
      </w:r>
    </w:p>
    <w:p w:rsidR="006D0534" w:rsidRPr="00FE1D90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направлением бюджетной политики, непосредственно связанным с обеспечением устойчивости бюджетной системы муниципального образования, является политика в области управления муниципальным долгом. </w:t>
      </w:r>
    </w:p>
    <w:p w:rsidR="001E4F7D" w:rsidRPr="00FE1D90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Миасского городского округа </w:t>
      </w:r>
      <w:r w:rsidR="001428E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28E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28E0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3A696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финансирования дефицита бюджета Миасского городского округа, 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выполнение обязательств, соблюдение норм и ограничений, установленных Бюджетным кодексом Российской Федерации, и нацелена на достижение показателей долговой нагрузки, позволяющих отнести Округ к группе заемщиков с высоким уровнем долговой устойчивости.</w:t>
      </w:r>
      <w:proofErr w:type="gramEnd"/>
    </w:p>
    <w:p w:rsidR="006D0534" w:rsidRPr="00FE1D90" w:rsidRDefault="006D0534" w:rsidP="006D0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Основной целью долговой политики на 202</w:t>
      </w:r>
      <w:r w:rsidR="00FE175D" w:rsidRPr="00FE1D90">
        <w:rPr>
          <w:rFonts w:ascii="Times New Roman" w:hAnsi="Times New Roman" w:cs="Times New Roman"/>
          <w:sz w:val="24"/>
          <w:szCs w:val="24"/>
        </w:rPr>
        <w:t>4</w:t>
      </w:r>
      <w:r w:rsidRPr="00FE1D90">
        <w:rPr>
          <w:rFonts w:ascii="Times New Roman" w:hAnsi="Times New Roman" w:cs="Times New Roman"/>
          <w:sz w:val="24"/>
          <w:szCs w:val="24"/>
        </w:rPr>
        <w:t>-202</w:t>
      </w:r>
      <w:r w:rsidR="00FE175D" w:rsidRPr="00FE1D90">
        <w:rPr>
          <w:rFonts w:ascii="Times New Roman" w:hAnsi="Times New Roman" w:cs="Times New Roman"/>
          <w:sz w:val="24"/>
          <w:szCs w:val="24"/>
        </w:rPr>
        <w:t>6</w:t>
      </w:r>
      <w:r w:rsidRPr="00FE1D90">
        <w:rPr>
          <w:rFonts w:ascii="Times New Roman" w:hAnsi="Times New Roman" w:cs="Times New Roman"/>
          <w:sz w:val="24"/>
          <w:szCs w:val="24"/>
        </w:rPr>
        <w:t xml:space="preserve"> годы является поддержание уровня долговой устойчивости бюджета Миасского городского округа. Кроме того, целями долговой политики являются:</w:t>
      </w:r>
    </w:p>
    <w:p w:rsidR="006D0534" w:rsidRPr="00FE1D90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 xml:space="preserve">- </w:t>
      </w:r>
      <w:r w:rsidR="00712468" w:rsidRPr="00FE1D90">
        <w:rPr>
          <w:rFonts w:ascii="Times New Roman" w:hAnsi="Times New Roman" w:cs="Times New Roman"/>
          <w:sz w:val="24"/>
          <w:szCs w:val="24"/>
        </w:rPr>
        <w:t>обеспечение</w:t>
      </w:r>
      <w:r w:rsidRPr="00FE1D90">
        <w:rPr>
          <w:rFonts w:ascii="Times New Roman" w:hAnsi="Times New Roman" w:cs="Times New Roman"/>
          <w:sz w:val="24"/>
          <w:szCs w:val="24"/>
        </w:rPr>
        <w:t xml:space="preserve"> уровня муниципального долга, установленного бюджетным законодательством;</w:t>
      </w:r>
      <w:r w:rsidR="00AE71DA" w:rsidRPr="00FE1D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534" w:rsidRPr="00FE1D90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абсолютное исключение условий для невыполнения долговых обязательств Округа;</w:t>
      </w:r>
    </w:p>
    <w:p w:rsidR="006D0534" w:rsidRPr="00FE1D90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снижение расходов на обслуживание муниципального долга;</w:t>
      </w:r>
    </w:p>
    <w:p w:rsidR="006D0534" w:rsidRPr="00FE1D90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0">
        <w:rPr>
          <w:rFonts w:ascii="Times New Roman" w:hAnsi="Times New Roman" w:cs="Times New Roman"/>
          <w:sz w:val="24"/>
          <w:szCs w:val="24"/>
        </w:rPr>
        <w:t>- отсутствие муниципального долга.</w:t>
      </w:r>
    </w:p>
    <w:p w:rsidR="00231FEF" w:rsidRPr="00FE1D90" w:rsidRDefault="00CC2EFB" w:rsidP="009859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Финансов Челя</w:t>
      </w:r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области проведена оценка долговой устойчивости Миасского городского округа в рамках исполнения Постановления Правительства Челябинской области от 06.05.2020г. № 187-П</w:t>
      </w:r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</w:t>
      </w:r>
      <w:proofErr w:type="gramStart"/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оценки долговой устойчивости муниципального образования Челябинской области</w:t>
      </w:r>
      <w:proofErr w:type="gramEnd"/>
      <w:r w:rsidR="002B240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 итогам проведенной оценки </w:t>
      </w:r>
      <w:r w:rsidR="007762A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FE175D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A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9859EE" w:rsidRPr="00FE1D90">
        <w:rPr>
          <w:rFonts w:ascii="Times New Roman" w:hAnsi="Times New Roman" w:cs="Times New Roman"/>
          <w:sz w:val="24"/>
          <w:szCs w:val="24"/>
        </w:rPr>
        <w:t xml:space="preserve"> </w:t>
      </w:r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 к группе </w:t>
      </w:r>
      <w:r w:rsidR="0065414A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7762AB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9EE"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уровнем долговой устойчивости.</w:t>
      </w:r>
    </w:p>
    <w:p w:rsidR="00712468" w:rsidRPr="00FE1D90" w:rsidRDefault="0057641E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68" w:rsidRPr="00FE1D90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468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468" w:rsidRPr="00231FEF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12468" w:rsidRPr="00231FEF" w:rsidSect="00464C0C">
      <w:footerReference w:type="default" r:id="rId9"/>
      <w:pgSz w:w="11906" w:h="16838"/>
      <w:pgMar w:top="624" w:right="624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09" w:rsidRDefault="00FE6309" w:rsidP="00D85426">
      <w:pPr>
        <w:spacing w:after="0" w:line="240" w:lineRule="auto"/>
      </w:pPr>
      <w:r>
        <w:separator/>
      </w:r>
    </w:p>
  </w:endnote>
  <w:endnote w:type="continuationSeparator" w:id="0">
    <w:p w:rsidR="00FE6309" w:rsidRDefault="00FE6309" w:rsidP="00D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09" w:rsidRDefault="00FE63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09" w:rsidRDefault="00FE6309" w:rsidP="00D85426">
      <w:pPr>
        <w:spacing w:after="0" w:line="240" w:lineRule="auto"/>
      </w:pPr>
      <w:r>
        <w:separator/>
      </w:r>
    </w:p>
  </w:footnote>
  <w:footnote w:type="continuationSeparator" w:id="0">
    <w:p w:rsidR="00FE6309" w:rsidRDefault="00FE6309" w:rsidP="00D8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272"/>
    <w:multiLevelType w:val="multilevel"/>
    <w:tmpl w:val="EFA07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59D"/>
    <w:multiLevelType w:val="multilevel"/>
    <w:tmpl w:val="A46E8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341E6"/>
    <w:multiLevelType w:val="hybridMultilevel"/>
    <w:tmpl w:val="AD8A2ECE"/>
    <w:lvl w:ilvl="0" w:tplc="D02E00F2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0F0F5C29"/>
    <w:multiLevelType w:val="hybridMultilevel"/>
    <w:tmpl w:val="D876A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D44644"/>
    <w:multiLevelType w:val="hybridMultilevel"/>
    <w:tmpl w:val="FAECBFA4"/>
    <w:lvl w:ilvl="0" w:tplc="55D8BBA4">
      <w:start w:val="1"/>
      <w:numFmt w:val="decimal"/>
      <w:lvlText w:val="%1)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404F91"/>
    <w:multiLevelType w:val="hybridMultilevel"/>
    <w:tmpl w:val="4380F1A6"/>
    <w:lvl w:ilvl="0" w:tplc="58EE2D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A54249"/>
    <w:multiLevelType w:val="hybridMultilevel"/>
    <w:tmpl w:val="77FEBA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BC04F85"/>
    <w:multiLevelType w:val="hybridMultilevel"/>
    <w:tmpl w:val="E56A98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83E34CB"/>
    <w:multiLevelType w:val="hybridMultilevel"/>
    <w:tmpl w:val="252EBD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42D"/>
    <w:rsid w:val="00000723"/>
    <w:rsid w:val="00000CA3"/>
    <w:rsid w:val="000018A4"/>
    <w:rsid w:val="000064DE"/>
    <w:rsid w:val="00007C7F"/>
    <w:rsid w:val="00013114"/>
    <w:rsid w:val="00017053"/>
    <w:rsid w:val="00017BC4"/>
    <w:rsid w:val="00020535"/>
    <w:rsid w:val="00023292"/>
    <w:rsid w:val="000301FF"/>
    <w:rsid w:val="00031116"/>
    <w:rsid w:val="00032EC0"/>
    <w:rsid w:val="00033243"/>
    <w:rsid w:val="00034E14"/>
    <w:rsid w:val="0003500E"/>
    <w:rsid w:val="000375C5"/>
    <w:rsid w:val="00046848"/>
    <w:rsid w:val="00047751"/>
    <w:rsid w:val="00050D06"/>
    <w:rsid w:val="00053DDB"/>
    <w:rsid w:val="00056ED0"/>
    <w:rsid w:val="0005728A"/>
    <w:rsid w:val="00065010"/>
    <w:rsid w:val="0007507A"/>
    <w:rsid w:val="00075E23"/>
    <w:rsid w:val="0007707D"/>
    <w:rsid w:val="00077353"/>
    <w:rsid w:val="000776C9"/>
    <w:rsid w:val="00077F78"/>
    <w:rsid w:val="000807F8"/>
    <w:rsid w:val="00081C7C"/>
    <w:rsid w:val="00085F32"/>
    <w:rsid w:val="00090B63"/>
    <w:rsid w:val="000A2CE9"/>
    <w:rsid w:val="000A4B63"/>
    <w:rsid w:val="000A78B0"/>
    <w:rsid w:val="000B2693"/>
    <w:rsid w:val="000B2D4A"/>
    <w:rsid w:val="000B5A3E"/>
    <w:rsid w:val="000B64D3"/>
    <w:rsid w:val="000C09EA"/>
    <w:rsid w:val="000C1891"/>
    <w:rsid w:val="000C3BA9"/>
    <w:rsid w:val="000C4B2B"/>
    <w:rsid w:val="000D0D92"/>
    <w:rsid w:val="000D6E7E"/>
    <w:rsid w:val="000E04A0"/>
    <w:rsid w:val="000E1271"/>
    <w:rsid w:val="000E28D8"/>
    <w:rsid w:val="000E2BC8"/>
    <w:rsid w:val="000E37AA"/>
    <w:rsid w:val="000E4498"/>
    <w:rsid w:val="000E4F5B"/>
    <w:rsid w:val="000E6DBE"/>
    <w:rsid w:val="000F1F96"/>
    <w:rsid w:val="000F26AA"/>
    <w:rsid w:val="000F6724"/>
    <w:rsid w:val="000F716E"/>
    <w:rsid w:val="00101AB3"/>
    <w:rsid w:val="001034F0"/>
    <w:rsid w:val="00103DB5"/>
    <w:rsid w:val="0011504E"/>
    <w:rsid w:val="0011736D"/>
    <w:rsid w:val="00126F56"/>
    <w:rsid w:val="00127FC7"/>
    <w:rsid w:val="00130809"/>
    <w:rsid w:val="00131F17"/>
    <w:rsid w:val="00136C20"/>
    <w:rsid w:val="00136FF3"/>
    <w:rsid w:val="00140A52"/>
    <w:rsid w:val="001428E0"/>
    <w:rsid w:val="00145124"/>
    <w:rsid w:val="00150111"/>
    <w:rsid w:val="0015061E"/>
    <w:rsid w:val="001508A1"/>
    <w:rsid w:val="00150E00"/>
    <w:rsid w:val="00153A7E"/>
    <w:rsid w:val="001605A2"/>
    <w:rsid w:val="00163B96"/>
    <w:rsid w:val="001641F5"/>
    <w:rsid w:val="00166232"/>
    <w:rsid w:val="00170553"/>
    <w:rsid w:val="00170D26"/>
    <w:rsid w:val="0017552F"/>
    <w:rsid w:val="00180303"/>
    <w:rsid w:val="001821D8"/>
    <w:rsid w:val="00184143"/>
    <w:rsid w:val="001843B9"/>
    <w:rsid w:val="001852B5"/>
    <w:rsid w:val="00187FB1"/>
    <w:rsid w:val="001905EF"/>
    <w:rsid w:val="00193749"/>
    <w:rsid w:val="00194B1E"/>
    <w:rsid w:val="001A27AE"/>
    <w:rsid w:val="001A2893"/>
    <w:rsid w:val="001A2909"/>
    <w:rsid w:val="001A5AF0"/>
    <w:rsid w:val="001B3995"/>
    <w:rsid w:val="001B3FA7"/>
    <w:rsid w:val="001B4B18"/>
    <w:rsid w:val="001B67D6"/>
    <w:rsid w:val="001D5FDE"/>
    <w:rsid w:val="001E212C"/>
    <w:rsid w:val="001E4C54"/>
    <w:rsid w:val="001E4E46"/>
    <w:rsid w:val="001E4F7D"/>
    <w:rsid w:val="001E79AB"/>
    <w:rsid w:val="001F22BB"/>
    <w:rsid w:val="0020301B"/>
    <w:rsid w:val="00205622"/>
    <w:rsid w:val="00210C14"/>
    <w:rsid w:val="00211D4C"/>
    <w:rsid w:val="002173CE"/>
    <w:rsid w:val="00220657"/>
    <w:rsid w:val="002243FB"/>
    <w:rsid w:val="00226A72"/>
    <w:rsid w:val="00231FEF"/>
    <w:rsid w:val="002335C6"/>
    <w:rsid w:val="00237762"/>
    <w:rsid w:val="00240BA9"/>
    <w:rsid w:val="002425C7"/>
    <w:rsid w:val="00243BE2"/>
    <w:rsid w:val="002519E8"/>
    <w:rsid w:val="00255C51"/>
    <w:rsid w:val="00263EBB"/>
    <w:rsid w:val="0026504A"/>
    <w:rsid w:val="0026516C"/>
    <w:rsid w:val="002655CB"/>
    <w:rsid w:val="00266424"/>
    <w:rsid w:val="00271518"/>
    <w:rsid w:val="0027288E"/>
    <w:rsid w:val="00274FE7"/>
    <w:rsid w:val="0027715C"/>
    <w:rsid w:val="002800B9"/>
    <w:rsid w:val="00286811"/>
    <w:rsid w:val="00291747"/>
    <w:rsid w:val="002939EE"/>
    <w:rsid w:val="00294BBA"/>
    <w:rsid w:val="002A02B7"/>
    <w:rsid w:val="002A04FB"/>
    <w:rsid w:val="002A05A3"/>
    <w:rsid w:val="002A6EDB"/>
    <w:rsid w:val="002B1832"/>
    <w:rsid w:val="002B1B40"/>
    <w:rsid w:val="002B240E"/>
    <w:rsid w:val="002B30E3"/>
    <w:rsid w:val="002B4099"/>
    <w:rsid w:val="002B4780"/>
    <w:rsid w:val="002B6CC7"/>
    <w:rsid w:val="002B7FCD"/>
    <w:rsid w:val="002C241E"/>
    <w:rsid w:val="002D08CE"/>
    <w:rsid w:val="002D24FA"/>
    <w:rsid w:val="002D3156"/>
    <w:rsid w:val="002D6CAF"/>
    <w:rsid w:val="002E1882"/>
    <w:rsid w:val="002E3571"/>
    <w:rsid w:val="002E52BC"/>
    <w:rsid w:val="002E7AAC"/>
    <w:rsid w:val="002E7EDF"/>
    <w:rsid w:val="002F02E1"/>
    <w:rsid w:val="002F5104"/>
    <w:rsid w:val="002F7B8F"/>
    <w:rsid w:val="00304431"/>
    <w:rsid w:val="00305DBB"/>
    <w:rsid w:val="00311190"/>
    <w:rsid w:val="00311309"/>
    <w:rsid w:val="00314452"/>
    <w:rsid w:val="00315859"/>
    <w:rsid w:val="003252C8"/>
    <w:rsid w:val="00327B88"/>
    <w:rsid w:val="00327E9C"/>
    <w:rsid w:val="00332A02"/>
    <w:rsid w:val="003359D1"/>
    <w:rsid w:val="00336F2F"/>
    <w:rsid w:val="00337698"/>
    <w:rsid w:val="0034520F"/>
    <w:rsid w:val="00347F86"/>
    <w:rsid w:val="00354083"/>
    <w:rsid w:val="0035541F"/>
    <w:rsid w:val="00355830"/>
    <w:rsid w:val="0036136D"/>
    <w:rsid w:val="00364907"/>
    <w:rsid w:val="00364C08"/>
    <w:rsid w:val="00371539"/>
    <w:rsid w:val="00371EC3"/>
    <w:rsid w:val="003729FD"/>
    <w:rsid w:val="0037634D"/>
    <w:rsid w:val="00377CB3"/>
    <w:rsid w:val="0038210E"/>
    <w:rsid w:val="00382341"/>
    <w:rsid w:val="00383A65"/>
    <w:rsid w:val="0038472D"/>
    <w:rsid w:val="00384E12"/>
    <w:rsid w:val="00386A55"/>
    <w:rsid w:val="0039035A"/>
    <w:rsid w:val="00390CED"/>
    <w:rsid w:val="00391AD3"/>
    <w:rsid w:val="0039474F"/>
    <w:rsid w:val="0039607A"/>
    <w:rsid w:val="0039614A"/>
    <w:rsid w:val="003A1052"/>
    <w:rsid w:val="003A28D1"/>
    <w:rsid w:val="003A696A"/>
    <w:rsid w:val="003A71ED"/>
    <w:rsid w:val="003B6BF3"/>
    <w:rsid w:val="003C4881"/>
    <w:rsid w:val="003C7DE2"/>
    <w:rsid w:val="003D3F5C"/>
    <w:rsid w:val="003D5A3F"/>
    <w:rsid w:val="003E114A"/>
    <w:rsid w:val="003E5ECD"/>
    <w:rsid w:val="003E6A9C"/>
    <w:rsid w:val="003E6D29"/>
    <w:rsid w:val="003F5F73"/>
    <w:rsid w:val="003F7C3B"/>
    <w:rsid w:val="0040459E"/>
    <w:rsid w:val="00420743"/>
    <w:rsid w:val="00420D80"/>
    <w:rsid w:val="0042209E"/>
    <w:rsid w:val="004228EA"/>
    <w:rsid w:val="00423C8E"/>
    <w:rsid w:val="00426CDB"/>
    <w:rsid w:val="00427FDE"/>
    <w:rsid w:val="00432091"/>
    <w:rsid w:val="00433772"/>
    <w:rsid w:val="00435C46"/>
    <w:rsid w:val="0044173C"/>
    <w:rsid w:val="00445612"/>
    <w:rsid w:val="00446A4A"/>
    <w:rsid w:val="00455632"/>
    <w:rsid w:val="00456C42"/>
    <w:rsid w:val="0046079F"/>
    <w:rsid w:val="00461DD2"/>
    <w:rsid w:val="00464C0C"/>
    <w:rsid w:val="00471476"/>
    <w:rsid w:val="004779D2"/>
    <w:rsid w:val="00477B85"/>
    <w:rsid w:val="0048178C"/>
    <w:rsid w:val="0048253D"/>
    <w:rsid w:val="00490B86"/>
    <w:rsid w:val="00491B2D"/>
    <w:rsid w:val="004932D2"/>
    <w:rsid w:val="00494696"/>
    <w:rsid w:val="004B329A"/>
    <w:rsid w:val="004B7332"/>
    <w:rsid w:val="004C382D"/>
    <w:rsid w:val="004C67B8"/>
    <w:rsid w:val="004D0A91"/>
    <w:rsid w:val="004D5883"/>
    <w:rsid w:val="004D5C85"/>
    <w:rsid w:val="004D5F68"/>
    <w:rsid w:val="004E1F0C"/>
    <w:rsid w:val="004F20F7"/>
    <w:rsid w:val="005022A7"/>
    <w:rsid w:val="005028AE"/>
    <w:rsid w:val="00511FCA"/>
    <w:rsid w:val="00520411"/>
    <w:rsid w:val="00520925"/>
    <w:rsid w:val="00525235"/>
    <w:rsid w:val="00525623"/>
    <w:rsid w:val="005257D1"/>
    <w:rsid w:val="00525B7A"/>
    <w:rsid w:val="00540700"/>
    <w:rsid w:val="005440E1"/>
    <w:rsid w:val="00544335"/>
    <w:rsid w:val="00544659"/>
    <w:rsid w:val="005450BF"/>
    <w:rsid w:val="0054595D"/>
    <w:rsid w:val="00554CE6"/>
    <w:rsid w:val="005600C8"/>
    <w:rsid w:val="00563E8B"/>
    <w:rsid w:val="00564BC6"/>
    <w:rsid w:val="005718D5"/>
    <w:rsid w:val="005748C4"/>
    <w:rsid w:val="0057641E"/>
    <w:rsid w:val="00581A0D"/>
    <w:rsid w:val="00585E45"/>
    <w:rsid w:val="00587832"/>
    <w:rsid w:val="00587A3C"/>
    <w:rsid w:val="00590739"/>
    <w:rsid w:val="00596AA1"/>
    <w:rsid w:val="005970E0"/>
    <w:rsid w:val="005A4007"/>
    <w:rsid w:val="005A51A4"/>
    <w:rsid w:val="005A63AA"/>
    <w:rsid w:val="005B48A2"/>
    <w:rsid w:val="005B6ADC"/>
    <w:rsid w:val="005C69D9"/>
    <w:rsid w:val="005C6CC5"/>
    <w:rsid w:val="005C73D4"/>
    <w:rsid w:val="005D3F6B"/>
    <w:rsid w:val="005D4A95"/>
    <w:rsid w:val="005D6C4F"/>
    <w:rsid w:val="005E0800"/>
    <w:rsid w:val="005E34B2"/>
    <w:rsid w:val="005F42E0"/>
    <w:rsid w:val="00601951"/>
    <w:rsid w:val="00611D69"/>
    <w:rsid w:val="0061269B"/>
    <w:rsid w:val="00617738"/>
    <w:rsid w:val="00620C04"/>
    <w:rsid w:val="00624FCA"/>
    <w:rsid w:val="00630F93"/>
    <w:rsid w:val="006437E2"/>
    <w:rsid w:val="0064636D"/>
    <w:rsid w:val="00647B03"/>
    <w:rsid w:val="00647DD7"/>
    <w:rsid w:val="00653F24"/>
    <w:rsid w:val="00654076"/>
    <w:rsid w:val="0065414A"/>
    <w:rsid w:val="00656DCC"/>
    <w:rsid w:val="00657644"/>
    <w:rsid w:val="00667768"/>
    <w:rsid w:val="00673301"/>
    <w:rsid w:val="006763FA"/>
    <w:rsid w:val="00677282"/>
    <w:rsid w:val="006809CA"/>
    <w:rsid w:val="006821B8"/>
    <w:rsid w:val="00682F5E"/>
    <w:rsid w:val="0068357B"/>
    <w:rsid w:val="006A0E6C"/>
    <w:rsid w:val="006A3FE3"/>
    <w:rsid w:val="006A40FE"/>
    <w:rsid w:val="006A7FB3"/>
    <w:rsid w:val="006B13A2"/>
    <w:rsid w:val="006B423F"/>
    <w:rsid w:val="006C285B"/>
    <w:rsid w:val="006C3943"/>
    <w:rsid w:val="006D0534"/>
    <w:rsid w:val="006D1D28"/>
    <w:rsid w:val="006D26BB"/>
    <w:rsid w:val="006E0719"/>
    <w:rsid w:val="006F03DC"/>
    <w:rsid w:val="006F0789"/>
    <w:rsid w:val="0071001F"/>
    <w:rsid w:val="00710696"/>
    <w:rsid w:val="0071160D"/>
    <w:rsid w:val="00712468"/>
    <w:rsid w:val="007161B1"/>
    <w:rsid w:val="00717973"/>
    <w:rsid w:val="00726A4B"/>
    <w:rsid w:val="007342A5"/>
    <w:rsid w:val="00735BB0"/>
    <w:rsid w:val="00736490"/>
    <w:rsid w:val="00747B66"/>
    <w:rsid w:val="00753FAC"/>
    <w:rsid w:val="007664A0"/>
    <w:rsid w:val="00774AC8"/>
    <w:rsid w:val="007756C0"/>
    <w:rsid w:val="007762AB"/>
    <w:rsid w:val="00777A51"/>
    <w:rsid w:val="00777D21"/>
    <w:rsid w:val="00780E6E"/>
    <w:rsid w:val="00784000"/>
    <w:rsid w:val="007852A8"/>
    <w:rsid w:val="0079421A"/>
    <w:rsid w:val="0079569E"/>
    <w:rsid w:val="007A32CD"/>
    <w:rsid w:val="007A38AB"/>
    <w:rsid w:val="007A772E"/>
    <w:rsid w:val="007A7EB6"/>
    <w:rsid w:val="007B12C1"/>
    <w:rsid w:val="007B31BE"/>
    <w:rsid w:val="007B6F34"/>
    <w:rsid w:val="007D2A4C"/>
    <w:rsid w:val="007E4939"/>
    <w:rsid w:val="007E5786"/>
    <w:rsid w:val="007E5978"/>
    <w:rsid w:val="007E6F27"/>
    <w:rsid w:val="007E749B"/>
    <w:rsid w:val="007F2168"/>
    <w:rsid w:val="007F6751"/>
    <w:rsid w:val="00800AC5"/>
    <w:rsid w:val="00801A6A"/>
    <w:rsid w:val="008036E3"/>
    <w:rsid w:val="00806878"/>
    <w:rsid w:val="008113E8"/>
    <w:rsid w:val="00814BBC"/>
    <w:rsid w:val="008203C5"/>
    <w:rsid w:val="00821134"/>
    <w:rsid w:val="0082204F"/>
    <w:rsid w:val="008230B5"/>
    <w:rsid w:val="00823F1A"/>
    <w:rsid w:val="00825B5A"/>
    <w:rsid w:val="0083180D"/>
    <w:rsid w:val="00831A12"/>
    <w:rsid w:val="00831AAC"/>
    <w:rsid w:val="00831B41"/>
    <w:rsid w:val="0083460F"/>
    <w:rsid w:val="00834BCC"/>
    <w:rsid w:val="00836A85"/>
    <w:rsid w:val="00836F22"/>
    <w:rsid w:val="00840CA1"/>
    <w:rsid w:val="00856312"/>
    <w:rsid w:val="0086064C"/>
    <w:rsid w:val="008610B4"/>
    <w:rsid w:val="00862B29"/>
    <w:rsid w:val="00872D8D"/>
    <w:rsid w:val="00875D53"/>
    <w:rsid w:val="008761C1"/>
    <w:rsid w:val="00884493"/>
    <w:rsid w:val="008844DF"/>
    <w:rsid w:val="00884FE8"/>
    <w:rsid w:val="0088663D"/>
    <w:rsid w:val="00886BBF"/>
    <w:rsid w:val="00890AF0"/>
    <w:rsid w:val="00891817"/>
    <w:rsid w:val="00892F58"/>
    <w:rsid w:val="00894EF1"/>
    <w:rsid w:val="008A02C8"/>
    <w:rsid w:val="008A1821"/>
    <w:rsid w:val="008A51CB"/>
    <w:rsid w:val="008A77AD"/>
    <w:rsid w:val="008A7B1E"/>
    <w:rsid w:val="008B0316"/>
    <w:rsid w:val="008B04E1"/>
    <w:rsid w:val="008B1685"/>
    <w:rsid w:val="008B32FC"/>
    <w:rsid w:val="008B36EA"/>
    <w:rsid w:val="008B47CD"/>
    <w:rsid w:val="008C0102"/>
    <w:rsid w:val="008C4111"/>
    <w:rsid w:val="008C4D1C"/>
    <w:rsid w:val="008C5807"/>
    <w:rsid w:val="008D16E5"/>
    <w:rsid w:val="008D2560"/>
    <w:rsid w:val="008D52EE"/>
    <w:rsid w:val="008D7AC7"/>
    <w:rsid w:val="008E118D"/>
    <w:rsid w:val="008E54FC"/>
    <w:rsid w:val="008F02D3"/>
    <w:rsid w:val="008F110D"/>
    <w:rsid w:val="008F276D"/>
    <w:rsid w:val="008F383A"/>
    <w:rsid w:val="008F7DC5"/>
    <w:rsid w:val="008F7F0A"/>
    <w:rsid w:val="00905BBC"/>
    <w:rsid w:val="009123DE"/>
    <w:rsid w:val="0092106D"/>
    <w:rsid w:val="009223C0"/>
    <w:rsid w:val="00923F6B"/>
    <w:rsid w:val="00925DF8"/>
    <w:rsid w:val="00926CA4"/>
    <w:rsid w:val="00937E21"/>
    <w:rsid w:val="009406B3"/>
    <w:rsid w:val="00945382"/>
    <w:rsid w:val="0094795E"/>
    <w:rsid w:val="00950253"/>
    <w:rsid w:val="009601E3"/>
    <w:rsid w:val="00964563"/>
    <w:rsid w:val="0096625C"/>
    <w:rsid w:val="009675EE"/>
    <w:rsid w:val="0097416F"/>
    <w:rsid w:val="00977CED"/>
    <w:rsid w:val="0098343B"/>
    <w:rsid w:val="00983520"/>
    <w:rsid w:val="009859EE"/>
    <w:rsid w:val="00991CF8"/>
    <w:rsid w:val="009A1FA9"/>
    <w:rsid w:val="009A24AE"/>
    <w:rsid w:val="009A3959"/>
    <w:rsid w:val="009A7C1E"/>
    <w:rsid w:val="009B62C9"/>
    <w:rsid w:val="009B7D69"/>
    <w:rsid w:val="009C4DB7"/>
    <w:rsid w:val="009D14FE"/>
    <w:rsid w:val="009D67B1"/>
    <w:rsid w:val="009D69CA"/>
    <w:rsid w:val="009D7EF4"/>
    <w:rsid w:val="009E3A81"/>
    <w:rsid w:val="009F15E6"/>
    <w:rsid w:val="009F2806"/>
    <w:rsid w:val="009F2934"/>
    <w:rsid w:val="009F6E89"/>
    <w:rsid w:val="009F78C3"/>
    <w:rsid w:val="009F7FBD"/>
    <w:rsid w:val="00A021A0"/>
    <w:rsid w:val="00A04005"/>
    <w:rsid w:val="00A10E96"/>
    <w:rsid w:val="00A157C4"/>
    <w:rsid w:val="00A20C90"/>
    <w:rsid w:val="00A2200E"/>
    <w:rsid w:val="00A22DFD"/>
    <w:rsid w:val="00A26A4A"/>
    <w:rsid w:val="00A34347"/>
    <w:rsid w:val="00A42CC2"/>
    <w:rsid w:val="00A4311B"/>
    <w:rsid w:val="00A47173"/>
    <w:rsid w:val="00A5190A"/>
    <w:rsid w:val="00A66C7C"/>
    <w:rsid w:val="00A67BCF"/>
    <w:rsid w:val="00A67E70"/>
    <w:rsid w:val="00A7079C"/>
    <w:rsid w:val="00A72350"/>
    <w:rsid w:val="00A73D36"/>
    <w:rsid w:val="00A75B65"/>
    <w:rsid w:val="00A75EE9"/>
    <w:rsid w:val="00A804A9"/>
    <w:rsid w:val="00A8433D"/>
    <w:rsid w:val="00A85EDC"/>
    <w:rsid w:val="00A95A0B"/>
    <w:rsid w:val="00A97C57"/>
    <w:rsid w:val="00AA16D7"/>
    <w:rsid w:val="00AA209F"/>
    <w:rsid w:val="00AA2315"/>
    <w:rsid w:val="00AA6A20"/>
    <w:rsid w:val="00AA7A69"/>
    <w:rsid w:val="00AB26A5"/>
    <w:rsid w:val="00AB2D58"/>
    <w:rsid w:val="00AB502B"/>
    <w:rsid w:val="00AC13A3"/>
    <w:rsid w:val="00AC1D8A"/>
    <w:rsid w:val="00AC43D7"/>
    <w:rsid w:val="00AC4676"/>
    <w:rsid w:val="00AC4CF3"/>
    <w:rsid w:val="00AC60DA"/>
    <w:rsid w:val="00AD2018"/>
    <w:rsid w:val="00AD236B"/>
    <w:rsid w:val="00AD4AA5"/>
    <w:rsid w:val="00AD57C8"/>
    <w:rsid w:val="00AE0959"/>
    <w:rsid w:val="00AE5119"/>
    <w:rsid w:val="00AE588F"/>
    <w:rsid w:val="00AE58B7"/>
    <w:rsid w:val="00AE71DA"/>
    <w:rsid w:val="00AE72FD"/>
    <w:rsid w:val="00AF05C6"/>
    <w:rsid w:val="00AF1A24"/>
    <w:rsid w:val="00AF1FBA"/>
    <w:rsid w:val="00AF24D6"/>
    <w:rsid w:val="00AF7AD2"/>
    <w:rsid w:val="00AF7FDF"/>
    <w:rsid w:val="00B01984"/>
    <w:rsid w:val="00B02994"/>
    <w:rsid w:val="00B03024"/>
    <w:rsid w:val="00B06774"/>
    <w:rsid w:val="00B2043D"/>
    <w:rsid w:val="00B20A08"/>
    <w:rsid w:val="00B24168"/>
    <w:rsid w:val="00B24B8D"/>
    <w:rsid w:val="00B32186"/>
    <w:rsid w:val="00B357EF"/>
    <w:rsid w:val="00B361A4"/>
    <w:rsid w:val="00B46FFD"/>
    <w:rsid w:val="00B52B68"/>
    <w:rsid w:val="00B52DC0"/>
    <w:rsid w:val="00B5504C"/>
    <w:rsid w:val="00B5580C"/>
    <w:rsid w:val="00B56666"/>
    <w:rsid w:val="00B57797"/>
    <w:rsid w:val="00B60E4B"/>
    <w:rsid w:val="00B61DC4"/>
    <w:rsid w:val="00B63126"/>
    <w:rsid w:val="00B65146"/>
    <w:rsid w:val="00B65AAC"/>
    <w:rsid w:val="00B77060"/>
    <w:rsid w:val="00B83B26"/>
    <w:rsid w:val="00B93125"/>
    <w:rsid w:val="00B938FD"/>
    <w:rsid w:val="00B9750E"/>
    <w:rsid w:val="00BA0566"/>
    <w:rsid w:val="00BA4D6F"/>
    <w:rsid w:val="00BB0909"/>
    <w:rsid w:val="00BB1CF1"/>
    <w:rsid w:val="00BB4BEC"/>
    <w:rsid w:val="00BB73F5"/>
    <w:rsid w:val="00BB7E54"/>
    <w:rsid w:val="00BB7F0C"/>
    <w:rsid w:val="00BC2007"/>
    <w:rsid w:val="00BC4363"/>
    <w:rsid w:val="00BC4BD3"/>
    <w:rsid w:val="00BC6178"/>
    <w:rsid w:val="00BC694C"/>
    <w:rsid w:val="00BC6F81"/>
    <w:rsid w:val="00BD50D1"/>
    <w:rsid w:val="00BE1973"/>
    <w:rsid w:val="00BE4D43"/>
    <w:rsid w:val="00BE7C12"/>
    <w:rsid w:val="00BF14DA"/>
    <w:rsid w:val="00BF2516"/>
    <w:rsid w:val="00BF524F"/>
    <w:rsid w:val="00BF71AA"/>
    <w:rsid w:val="00C0062D"/>
    <w:rsid w:val="00C02D76"/>
    <w:rsid w:val="00C11295"/>
    <w:rsid w:val="00C11FDA"/>
    <w:rsid w:val="00C227E1"/>
    <w:rsid w:val="00C23E61"/>
    <w:rsid w:val="00C2784D"/>
    <w:rsid w:val="00C30DC5"/>
    <w:rsid w:val="00C31F88"/>
    <w:rsid w:val="00C3604D"/>
    <w:rsid w:val="00C3642D"/>
    <w:rsid w:val="00C36A57"/>
    <w:rsid w:val="00C402AC"/>
    <w:rsid w:val="00C46E00"/>
    <w:rsid w:val="00C46E53"/>
    <w:rsid w:val="00C476BC"/>
    <w:rsid w:val="00C47DA5"/>
    <w:rsid w:val="00C5479A"/>
    <w:rsid w:val="00C61F2C"/>
    <w:rsid w:val="00C64A3B"/>
    <w:rsid w:val="00C659E4"/>
    <w:rsid w:val="00C66255"/>
    <w:rsid w:val="00C667E4"/>
    <w:rsid w:val="00C72861"/>
    <w:rsid w:val="00C729CB"/>
    <w:rsid w:val="00C81969"/>
    <w:rsid w:val="00C82BB2"/>
    <w:rsid w:val="00C84D73"/>
    <w:rsid w:val="00C92386"/>
    <w:rsid w:val="00C941E1"/>
    <w:rsid w:val="00CA2B39"/>
    <w:rsid w:val="00CA6350"/>
    <w:rsid w:val="00CA7F93"/>
    <w:rsid w:val="00CB166B"/>
    <w:rsid w:val="00CB4187"/>
    <w:rsid w:val="00CB58E2"/>
    <w:rsid w:val="00CC26C0"/>
    <w:rsid w:val="00CC28CA"/>
    <w:rsid w:val="00CC2EFB"/>
    <w:rsid w:val="00CC4612"/>
    <w:rsid w:val="00CC4E21"/>
    <w:rsid w:val="00CD5D96"/>
    <w:rsid w:val="00CF7007"/>
    <w:rsid w:val="00D02D28"/>
    <w:rsid w:val="00D0418A"/>
    <w:rsid w:val="00D063B8"/>
    <w:rsid w:val="00D06FA1"/>
    <w:rsid w:val="00D121B7"/>
    <w:rsid w:val="00D12B29"/>
    <w:rsid w:val="00D14306"/>
    <w:rsid w:val="00D20975"/>
    <w:rsid w:val="00D215DD"/>
    <w:rsid w:val="00D21FBF"/>
    <w:rsid w:val="00D30C5B"/>
    <w:rsid w:val="00D33410"/>
    <w:rsid w:val="00D34C96"/>
    <w:rsid w:val="00D36000"/>
    <w:rsid w:val="00D3653C"/>
    <w:rsid w:val="00D418D3"/>
    <w:rsid w:val="00D43C26"/>
    <w:rsid w:val="00D44D02"/>
    <w:rsid w:val="00D458AE"/>
    <w:rsid w:val="00D47A98"/>
    <w:rsid w:val="00D52E38"/>
    <w:rsid w:val="00D53D83"/>
    <w:rsid w:val="00D5464C"/>
    <w:rsid w:val="00D54DEA"/>
    <w:rsid w:val="00D577C5"/>
    <w:rsid w:val="00D60936"/>
    <w:rsid w:val="00D632E8"/>
    <w:rsid w:val="00D657C6"/>
    <w:rsid w:val="00D7165D"/>
    <w:rsid w:val="00D72F5B"/>
    <w:rsid w:val="00D75FC6"/>
    <w:rsid w:val="00D761DC"/>
    <w:rsid w:val="00D81959"/>
    <w:rsid w:val="00D826ED"/>
    <w:rsid w:val="00D83AFB"/>
    <w:rsid w:val="00D83E60"/>
    <w:rsid w:val="00D84FFB"/>
    <w:rsid w:val="00D85426"/>
    <w:rsid w:val="00D85E6A"/>
    <w:rsid w:val="00D86C83"/>
    <w:rsid w:val="00D87332"/>
    <w:rsid w:val="00D9089B"/>
    <w:rsid w:val="00D917C9"/>
    <w:rsid w:val="00D934D5"/>
    <w:rsid w:val="00D958AC"/>
    <w:rsid w:val="00D95B1B"/>
    <w:rsid w:val="00D963C0"/>
    <w:rsid w:val="00DA0F83"/>
    <w:rsid w:val="00DA10EF"/>
    <w:rsid w:val="00DA3EA8"/>
    <w:rsid w:val="00DA45AF"/>
    <w:rsid w:val="00DA648A"/>
    <w:rsid w:val="00DB0A9F"/>
    <w:rsid w:val="00DB4D5D"/>
    <w:rsid w:val="00DB7319"/>
    <w:rsid w:val="00DC2185"/>
    <w:rsid w:val="00DC4D38"/>
    <w:rsid w:val="00DD0C22"/>
    <w:rsid w:val="00DD1D22"/>
    <w:rsid w:val="00DD2BBB"/>
    <w:rsid w:val="00DD32DE"/>
    <w:rsid w:val="00DD5119"/>
    <w:rsid w:val="00DD66FA"/>
    <w:rsid w:val="00DD7F09"/>
    <w:rsid w:val="00DE1F8E"/>
    <w:rsid w:val="00DE3EF3"/>
    <w:rsid w:val="00DF37BF"/>
    <w:rsid w:val="00DF5D6E"/>
    <w:rsid w:val="00DF67F4"/>
    <w:rsid w:val="00DF770E"/>
    <w:rsid w:val="00E0112C"/>
    <w:rsid w:val="00E02121"/>
    <w:rsid w:val="00E035A9"/>
    <w:rsid w:val="00E0499F"/>
    <w:rsid w:val="00E04EC5"/>
    <w:rsid w:val="00E06AFC"/>
    <w:rsid w:val="00E23DD7"/>
    <w:rsid w:val="00E2565D"/>
    <w:rsid w:val="00E26B80"/>
    <w:rsid w:val="00E27689"/>
    <w:rsid w:val="00E309E8"/>
    <w:rsid w:val="00E3273F"/>
    <w:rsid w:val="00E41324"/>
    <w:rsid w:val="00E43B27"/>
    <w:rsid w:val="00E46B15"/>
    <w:rsid w:val="00E521C9"/>
    <w:rsid w:val="00E5252E"/>
    <w:rsid w:val="00E5361D"/>
    <w:rsid w:val="00E53B50"/>
    <w:rsid w:val="00E604F5"/>
    <w:rsid w:val="00E60706"/>
    <w:rsid w:val="00E61ED6"/>
    <w:rsid w:val="00E64D03"/>
    <w:rsid w:val="00E67254"/>
    <w:rsid w:val="00E67C30"/>
    <w:rsid w:val="00E8113E"/>
    <w:rsid w:val="00E8482B"/>
    <w:rsid w:val="00E8718E"/>
    <w:rsid w:val="00E90F28"/>
    <w:rsid w:val="00E910AF"/>
    <w:rsid w:val="00E92C44"/>
    <w:rsid w:val="00E95B72"/>
    <w:rsid w:val="00EA28F2"/>
    <w:rsid w:val="00EA3FC6"/>
    <w:rsid w:val="00EA4447"/>
    <w:rsid w:val="00EB0734"/>
    <w:rsid w:val="00EB489C"/>
    <w:rsid w:val="00EB6A1C"/>
    <w:rsid w:val="00EC0A07"/>
    <w:rsid w:val="00EC0B6D"/>
    <w:rsid w:val="00EC2B01"/>
    <w:rsid w:val="00EC42D4"/>
    <w:rsid w:val="00EC4B78"/>
    <w:rsid w:val="00EC63D0"/>
    <w:rsid w:val="00EC67E2"/>
    <w:rsid w:val="00ED118E"/>
    <w:rsid w:val="00ED19F9"/>
    <w:rsid w:val="00ED2203"/>
    <w:rsid w:val="00ED4BD8"/>
    <w:rsid w:val="00EE2A61"/>
    <w:rsid w:val="00EE2D26"/>
    <w:rsid w:val="00EE490D"/>
    <w:rsid w:val="00EE53AA"/>
    <w:rsid w:val="00EE55C1"/>
    <w:rsid w:val="00EE79C9"/>
    <w:rsid w:val="00EF080E"/>
    <w:rsid w:val="00EF188E"/>
    <w:rsid w:val="00EF4AD9"/>
    <w:rsid w:val="00EF5462"/>
    <w:rsid w:val="00EF5B3A"/>
    <w:rsid w:val="00EF7EF7"/>
    <w:rsid w:val="00F003B7"/>
    <w:rsid w:val="00F02A2A"/>
    <w:rsid w:val="00F048C0"/>
    <w:rsid w:val="00F058C3"/>
    <w:rsid w:val="00F1002A"/>
    <w:rsid w:val="00F10E48"/>
    <w:rsid w:val="00F1120E"/>
    <w:rsid w:val="00F11C76"/>
    <w:rsid w:val="00F2215D"/>
    <w:rsid w:val="00F2504A"/>
    <w:rsid w:val="00F253C4"/>
    <w:rsid w:val="00F279AA"/>
    <w:rsid w:val="00F31972"/>
    <w:rsid w:val="00F32251"/>
    <w:rsid w:val="00F36ECA"/>
    <w:rsid w:val="00F445DF"/>
    <w:rsid w:val="00F45248"/>
    <w:rsid w:val="00F47678"/>
    <w:rsid w:val="00F52357"/>
    <w:rsid w:val="00F52850"/>
    <w:rsid w:val="00F541A0"/>
    <w:rsid w:val="00F55699"/>
    <w:rsid w:val="00F61811"/>
    <w:rsid w:val="00F63702"/>
    <w:rsid w:val="00F66C91"/>
    <w:rsid w:val="00F702C3"/>
    <w:rsid w:val="00F70637"/>
    <w:rsid w:val="00F70800"/>
    <w:rsid w:val="00F71692"/>
    <w:rsid w:val="00F72127"/>
    <w:rsid w:val="00F72A47"/>
    <w:rsid w:val="00F741B3"/>
    <w:rsid w:val="00F77251"/>
    <w:rsid w:val="00F90DFC"/>
    <w:rsid w:val="00F93724"/>
    <w:rsid w:val="00F95F71"/>
    <w:rsid w:val="00F96CDF"/>
    <w:rsid w:val="00FA0D96"/>
    <w:rsid w:val="00FA3F03"/>
    <w:rsid w:val="00FB1848"/>
    <w:rsid w:val="00FB3C16"/>
    <w:rsid w:val="00FB55F8"/>
    <w:rsid w:val="00FB58EC"/>
    <w:rsid w:val="00FC7AE9"/>
    <w:rsid w:val="00FD4666"/>
    <w:rsid w:val="00FD6218"/>
    <w:rsid w:val="00FD7055"/>
    <w:rsid w:val="00FD71C7"/>
    <w:rsid w:val="00FE175D"/>
    <w:rsid w:val="00FE1D90"/>
    <w:rsid w:val="00FE604A"/>
    <w:rsid w:val="00FE6309"/>
    <w:rsid w:val="00FE69CF"/>
    <w:rsid w:val="00FE72E7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6E"/>
  </w:style>
  <w:style w:type="paragraph" w:styleId="1">
    <w:name w:val="heading 1"/>
    <w:basedOn w:val="a"/>
    <w:link w:val="10"/>
    <w:uiPriority w:val="9"/>
    <w:qFormat/>
    <w:rsid w:val="0068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6">
    <w:name w:val="Char Style 6"/>
    <w:link w:val="Style4"/>
    <w:uiPriority w:val="99"/>
    <w:locked/>
    <w:rsid w:val="004228E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4228E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styleId="a5">
    <w:name w:val="List Paragraph"/>
    <w:basedOn w:val="a"/>
    <w:uiPriority w:val="34"/>
    <w:qFormat/>
    <w:rsid w:val="00ED22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A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86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386A5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8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item-counter-value">
    <w:name w:val="section_item-counter-value"/>
    <w:basedOn w:val="a0"/>
    <w:rsid w:val="006821B8"/>
  </w:style>
  <w:style w:type="character" w:styleId="aa">
    <w:name w:val="Hyperlink"/>
    <w:basedOn w:val="a0"/>
    <w:uiPriority w:val="99"/>
    <w:semiHidden/>
    <w:unhideWhenUsed/>
    <w:rsid w:val="00682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8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6821B8"/>
  </w:style>
  <w:style w:type="character" w:customStyle="1" w:styleId="label-pressed">
    <w:name w:val="label-pressed"/>
    <w:basedOn w:val="a0"/>
    <w:rsid w:val="006821B8"/>
  </w:style>
  <w:style w:type="character" w:customStyle="1" w:styleId="label-not-pressed">
    <w:name w:val="label-not-pressed"/>
    <w:basedOn w:val="a0"/>
    <w:rsid w:val="006821B8"/>
  </w:style>
  <w:style w:type="character" w:customStyle="1" w:styleId="ac">
    <w:name w:val="Основной текст_"/>
    <w:basedOn w:val="a0"/>
    <w:link w:val="11"/>
    <w:rsid w:val="00A22DF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A22DF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574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834">
                  <w:marLeft w:val="-525"/>
                  <w:marRight w:val="-5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987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10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49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01773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13592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7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8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434107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452212953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892570985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32217649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315232405">
                  <w:marLeft w:val="-450"/>
                  <w:marRight w:val="300"/>
                  <w:marTop w:val="120"/>
                  <w:marBottom w:val="300"/>
                  <w:divBdr>
                    <w:top w:val="single" w:sz="6" w:space="10" w:color="E1E1E1"/>
                    <w:left w:val="none" w:sz="0" w:space="10" w:color="auto"/>
                    <w:bottom w:val="single" w:sz="6" w:space="10" w:color="E1E1E1"/>
                    <w:right w:val="none" w:sz="0" w:space="10" w:color="auto"/>
                  </w:divBdr>
                  <w:divsChild>
                    <w:div w:id="65996962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0261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2006976239">
                  <w:marLeft w:val="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22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173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1610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5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5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4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0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8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6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5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2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4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0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2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1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A939-65D3-44CA-88F2-3A682E18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10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550</cp:revision>
  <cp:lastPrinted>2022-11-14T08:58:00Z</cp:lastPrinted>
  <dcterms:created xsi:type="dcterms:W3CDTF">2018-10-10T05:12:00Z</dcterms:created>
  <dcterms:modified xsi:type="dcterms:W3CDTF">2023-11-14T11:05:00Z</dcterms:modified>
</cp:coreProperties>
</file>