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C" w:rsidRPr="0079173C" w:rsidRDefault="00693013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79173C"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 </w:t>
      </w:r>
      <w:proofErr w:type="gramStart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Р О Е К Т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РЕКОМЕНДАЦИИ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публичных слушаний по проекту  решения Собрания депутатов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«Об исполнении бюджета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 20</w:t>
      </w:r>
      <w:r w:rsidR="0051439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2</w:t>
      </w:r>
      <w:r w:rsidR="00204F51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2</w:t>
      </w: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год»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E168A6" w:rsidP="0079173C">
      <w:pPr>
        <w:widowControl w:val="0"/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204F51">
        <w:rPr>
          <w:rFonts w:ascii="Times New Roman" w:eastAsia="Times New Roman" w:hAnsi="Times New Roman" w:cs="Times New Roman"/>
          <w:spacing w:val="20"/>
          <w:sz w:val="26"/>
          <w:szCs w:val="26"/>
        </w:rPr>
        <w:t>23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>.0</w:t>
      </w:r>
      <w:r w:rsidR="00204F51">
        <w:rPr>
          <w:rFonts w:ascii="Times New Roman" w:eastAsia="Times New Roman" w:hAnsi="Times New Roman" w:cs="Times New Roman"/>
          <w:spacing w:val="20"/>
          <w:sz w:val="26"/>
          <w:szCs w:val="26"/>
        </w:rPr>
        <w:t>3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>.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20</w:t>
      </w:r>
      <w:r w:rsid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204F51">
        <w:rPr>
          <w:rFonts w:ascii="Times New Roman" w:eastAsia="Times New Roman" w:hAnsi="Times New Roman" w:cs="Times New Roman"/>
          <w:spacing w:val="20"/>
          <w:sz w:val="26"/>
          <w:szCs w:val="26"/>
        </w:rPr>
        <w:t>3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>г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.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</w:t>
      </w:r>
      <w:r w:rsidR="00E227A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Миасс</w:t>
      </w:r>
      <w:r w:rsidR="0079173C" w:rsidRPr="0079173C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    </w:t>
      </w:r>
    </w:p>
    <w:p w:rsidR="00DC4429" w:rsidRDefault="00DC4429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603CAB" w:rsidRDefault="00603CAB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76081" w:rsidRPr="00AA0260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Участники публичных слушаний, рассмотрев проект </w:t>
      </w:r>
      <w:r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решения Собрания депутатов Миасского городского округа  </w:t>
      </w:r>
      <w:r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«Об исполнении бюджета Миасского городского округа  за 20</w:t>
      </w:r>
      <w:r w:rsidR="00176081"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2</w:t>
      </w:r>
      <w:r w:rsidR="00AA0260"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>2</w:t>
      </w:r>
      <w:r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  <w:u w:val="single"/>
        </w:rPr>
        <w:t xml:space="preserve"> год»</w:t>
      </w: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отмечают, </w:t>
      </w:r>
      <w:r w:rsidR="00DC4429"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что </w:t>
      </w:r>
      <w:r w:rsidR="0021441E"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в </w:t>
      </w: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</w:t>
      </w:r>
      <w:r w:rsidR="00176081"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AA0260"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бюджетная и налоговая политика Миасского городского округа была направлена на </w:t>
      </w:r>
      <w:r w:rsidR="00176081" w:rsidRPr="00AA026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повышение эффективности и качества управления муниципальными финансами, повышение уровня собственных доходов и результативности бюджетных расходов.</w:t>
      </w:r>
    </w:p>
    <w:p w:rsidR="00DE3937" w:rsidRPr="007F4E3D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Общий объем поступлений доходов бюджета Округа за 20</w:t>
      </w:r>
      <w:r w:rsidR="0082433E"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2</w:t>
      </w:r>
      <w:r w:rsidR="00AA0260"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2</w:t>
      </w:r>
      <w:r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год </w:t>
      </w:r>
      <w:r w:rsidR="00DE3937"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составил</w:t>
      </w:r>
      <w:r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="00210561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F27B4B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="00F27B4B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968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942553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при уточненных бюджетных назначениях </w:t>
      </w:r>
      <w:r w:rsidR="00F27B4B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F27B4B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049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F13591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или </w:t>
      </w:r>
      <w:r w:rsidR="00F27B4B"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на 99,0 </w:t>
      </w:r>
      <w:r w:rsidRPr="007F4E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%.</w:t>
      </w:r>
    </w:p>
    <w:p w:rsidR="0079173C" w:rsidRPr="007F4E3D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7F4E3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Доходная часть бюджета </w:t>
      </w:r>
      <w:r w:rsidR="00E86B2A" w:rsidRPr="007F4E3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</w:t>
      </w:r>
      <w:r w:rsidRPr="007F4E3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круга сформирована на </w:t>
      </w:r>
      <w:r w:rsidR="007F4E3D"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71,5</w:t>
      </w:r>
      <w:r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%</w:t>
      </w:r>
      <w:r w:rsidRPr="007F4E3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за счет безвозмездных поступлений, а также  поступлений налоговых и неналоговых доходов на </w:t>
      </w:r>
      <w:r w:rsidR="007F4E3D"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28,5</w:t>
      </w:r>
      <w:r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%.</w:t>
      </w:r>
    </w:p>
    <w:p w:rsidR="00DB7687" w:rsidRPr="007F4E3D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7F4E3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Безвозмездные поступления в бюджет Округа получены  в объеме  </w:t>
      </w:r>
      <w:r w:rsid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69</w:t>
      </w:r>
      <w:r w:rsidR="00E251C1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7</w:t>
      </w:r>
      <w:r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Pr="007F4E3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7F4E3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в том числе:</w:t>
      </w:r>
    </w:p>
    <w:p w:rsidR="00DB7687" w:rsidRPr="00F32398" w:rsidRDefault="00DB7687" w:rsidP="00A521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proofErr w:type="gramStart"/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- из областного бюджета (с учетом возвратов) в сумме</w:t>
      </w:r>
      <w:r w:rsidR="00DE393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3B08E8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13E47" w:rsidRPr="00F3239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="003B08E8" w:rsidRPr="00F3239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DE3937" w:rsidRPr="00F3239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813E47" w:rsidRPr="00F3239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696</w:t>
      </w:r>
      <w:r w:rsidR="003B08E8" w:rsidRPr="00F3239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,3 млн. рублей</w:t>
      </w:r>
      <w:r w:rsidR="003B08E8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(дотации – 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692</w:t>
      </w:r>
      <w:r w:rsidR="00081AF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081AF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. рублей, субсидии  </w:t>
      </w:r>
      <w:r w:rsidR="00A5210A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-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2 млрд.192,6  млн. рублей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субвенции – </w:t>
      </w:r>
      <w:r w:rsidR="00081AF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 млрд.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7231</w:t>
      </w:r>
      <w:r w:rsidR="00081AF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081AF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иные межбюджетные трансферты – 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88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813E47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6E0F1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рублей);</w:t>
      </w:r>
      <w:proofErr w:type="gramEnd"/>
    </w:p>
    <w:p w:rsidR="00DB7687" w:rsidRPr="00F32398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от негосударственных организаций в сумме </w:t>
      </w:r>
      <w:r w:rsidR="00E251C1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6E0F1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E251C1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6E0F1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6E0F1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рублей;</w:t>
      </w:r>
    </w:p>
    <w:p w:rsidR="00DB7687" w:rsidRPr="00F32398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-  прочи</w:t>
      </w:r>
      <w:r w:rsidR="009B19AF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е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поступлени</w:t>
      </w:r>
      <w:r w:rsidR="009B19AF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я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сумме </w:t>
      </w:r>
      <w:r w:rsidR="006E0F1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0,0</w:t>
      </w:r>
      <w:r w:rsidR="00A5210A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</w:t>
      </w:r>
      <w:r w:rsidR="006E0F14"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</w:t>
      </w:r>
      <w:r w:rsidRPr="00F3239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рублей.</w:t>
      </w:r>
    </w:p>
    <w:p w:rsidR="0079173C" w:rsidRPr="00467674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Налоговых и неналоговых доходов за 20</w:t>
      </w:r>
      <w:r w:rsidR="00693013"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A5210A"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поступило в бюджет Округа </w:t>
      </w:r>
      <w:r w:rsidR="00221E8D"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221E8D"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271</w:t>
      </w:r>
      <w:r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221E8D"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Pr="00221E8D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при годовых уточненных бюджетных назначениях</w:t>
      </w:r>
      <w:r w:rsidRPr="00204F51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="00221E8D"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="00221E8D"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160</w:t>
      </w:r>
      <w:r w:rsidR="00396B13"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221E8D"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221E8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млн. рублей</w:t>
      </w:r>
      <w:r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или 10</w:t>
      </w:r>
      <w:r w:rsidR="00467674"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467674"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 По сравнению с 20</w:t>
      </w:r>
      <w:r w:rsidR="0012649A"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467674"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годом поступления увеличились на </w:t>
      </w:r>
      <w:r w:rsidR="00467674"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21.6</w:t>
      </w:r>
      <w:r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467674"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403,3</w:t>
      </w:r>
      <w:r w:rsidRPr="004676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</w:p>
    <w:p w:rsidR="00BB0248" w:rsidRDefault="0079173C" w:rsidP="00603CAB">
      <w:pPr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Налоговые доходы поступили в объеме </w:t>
      </w:r>
      <w:r w:rsidR="0096232B"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 </w:t>
      </w:r>
      <w:r w:rsidR="0096232B"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043</w:t>
      </w:r>
      <w:r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96232B"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6</w:t>
      </w:r>
      <w:r w:rsidRPr="0096232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Pr="00204F51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или 10</w:t>
      </w:r>
      <w:r w:rsidR="0096232B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6232B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="00197A88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 </w:t>
      </w:r>
      <w:r w:rsidR="009B19AF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от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уточненны</w:t>
      </w:r>
      <w:r w:rsidR="009B19AF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бюджетны</w:t>
      </w:r>
      <w:r w:rsidR="009B19AF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назначени</w:t>
      </w:r>
      <w:r w:rsidR="009B19AF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й в сумме</w:t>
      </w:r>
    </w:p>
    <w:p w:rsidR="0079173C" w:rsidRPr="0045293E" w:rsidRDefault="00BB0248" w:rsidP="00BB0248">
      <w:pPr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79173C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="0096232B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994</w:t>
      </w:r>
      <w:r w:rsidR="0079173C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6232B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79173C" w:rsidRPr="0096232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79173C" w:rsidRPr="00204F51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="0079173C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 налоговых доходов по отношению к уровню 20</w:t>
      </w:r>
      <w:r w:rsidR="000703F4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96232B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79173C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составил </w:t>
      </w:r>
      <w:r w:rsidR="0045293E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18</w:t>
      </w:r>
      <w:r w:rsidR="000703F4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45293E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</w:t>
      </w:r>
      <w:r w:rsidR="0079173C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45293E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325,8</w:t>
      </w:r>
      <w:r w:rsidR="0079173C" w:rsidRPr="0045293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 Доходы выросли по большинству налоговых источников, среди них:</w:t>
      </w:r>
    </w:p>
    <w:p w:rsidR="0079173C" w:rsidRPr="00245574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на </w:t>
      </w:r>
      <w:r w:rsidR="00D23199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192,1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3673C2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больше уровня 20</w:t>
      </w:r>
      <w:r w:rsidR="005A7680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D23199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 поступил </w:t>
      </w:r>
      <w:r w:rsidRPr="0024557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 на доходы физических лиц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что обусловлено ростом фонда начисленной заработной платы в крупных и средних предприятиях Округа;</w:t>
      </w:r>
    </w:p>
    <w:p w:rsidR="0079173C" w:rsidRPr="00245574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</w:t>
      </w:r>
      <w:r w:rsidR="0082116F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="00245574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76</w:t>
      </w:r>
      <w:r w:rsidR="00754151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245574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3673C2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больше уровня 20</w:t>
      </w:r>
      <w:r w:rsidR="00F732CA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245574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 поступил </w:t>
      </w:r>
      <w:r w:rsidR="000C41C8" w:rsidRPr="0024557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налог,  взима</w:t>
      </w:r>
      <w:r w:rsidRPr="0024557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емый в связи с применением упрощённой системы налогообложения</w:t>
      </w:r>
      <w:r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</w:t>
      </w:r>
      <w:r w:rsidR="00665476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в </w:t>
      </w:r>
      <w:r w:rsidR="00754151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результате </w:t>
      </w:r>
      <w:r w:rsidR="00665476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увеличени</w:t>
      </w:r>
      <w:r w:rsidR="00754151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я</w:t>
      </w:r>
      <w:r w:rsidR="00665476" w:rsidRPr="0024557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количества налогоплательщиков</w:t>
      </w:r>
      <w:r w:rsidR="000005AE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</w:p>
    <w:p w:rsidR="00BD1A8E" w:rsidRPr="00204F51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</w:pPr>
      <w:r w:rsidRPr="009E2B5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Неналоговые доходы поступили в объеме </w:t>
      </w:r>
      <w:r w:rsidR="009E2B55" w:rsidRPr="009E2B5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227</w:t>
      </w:r>
      <w:r w:rsidRPr="009E2B5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E2B55" w:rsidRPr="009E2B5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Pr="009E2B5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</w:t>
      </w:r>
      <w:r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или на </w:t>
      </w:r>
      <w:r w:rsidR="00124913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136,8</w:t>
      </w:r>
      <w:r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  к уточненным бюджетным назначениям </w:t>
      </w:r>
      <w:r w:rsidRPr="002145DB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="002145D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166</w:t>
      </w:r>
      <w:r w:rsidR="00D63E35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2145D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</w:t>
      </w:r>
      <w:r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lastRenderedPageBreak/>
        <w:t xml:space="preserve">рублей. </w:t>
      </w:r>
      <w:r w:rsidR="00D63E35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Перевыполнено</w:t>
      </w:r>
      <w:r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доходов на сумму на сумму </w:t>
      </w:r>
      <w:r w:rsidR="002145D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61,3</w:t>
      </w:r>
      <w:r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9D7B78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  <w:r w:rsid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793F6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Поступления к уровню </w:t>
      </w:r>
      <w:r w:rsidR="00B76564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="009D7B78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2145D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B76564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</w:t>
      </w:r>
      <w:r w:rsidR="009D7B78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а</w:t>
      </w:r>
      <w:r w:rsidR="00B76564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D7B78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составили </w:t>
      </w:r>
      <w:r w:rsidR="00067E67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2145D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152,2</w:t>
      </w:r>
      <w:r w:rsidR="00793F6B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</w:t>
      </w:r>
      <w:r w:rsidR="009D7B78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B76564" w:rsidRPr="002145D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79173C" w:rsidRPr="00A261B0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9D6AD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Объем недоимки по налоговым доходам и задолженност</w:t>
      </w:r>
      <w:r w:rsidR="00812E68" w:rsidRPr="009D6AD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и по неналоговым доходам на </w:t>
      </w:r>
      <w:r w:rsidRPr="009D6AD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01.01.20</w:t>
      </w:r>
      <w:r w:rsidR="003C04FA" w:rsidRPr="009D6AD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9D6AD6" w:rsidRPr="009D6AD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9D6AD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сохраняется высоким и </w:t>
      </w:r>
      <w:r w:rsidRPr="00AA16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составляет  </w:t>
      </w:r>
      <w:r w:rsidR="00AA16D5" w:rsidRPr="00AA16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193,6</w:t>
      </w:r>
      <w:r w:rsidRPr="00AA16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5F1357" w:rsidRPr="00AA16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1357" w:rsidRPr="00AA16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 задолженности к уровню 202</w:t>
      </w:r>
      <w:r w:rsidR="009D6AD6" w:rsidRPr="00AA16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5F1357" w:rsidRPr="00AA16D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</w:t>
      </w:r>
      <w:r w:rsidR="005F1357" w:rsidRPr="00A261B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составил </w:t>
      </w:r>
      <w:r w:rsidR="00AA16D5" w:rsidRPr="00A261B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="005F1357" w:rsidRPr="00A261B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,7%, или </w:t>
      </w:r>
      <w:r w:rsidR="00AA16D5" w:rsidRPr="00A261B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10377,5</w:t>
      </w:r>
      <w:r w:rsidR="005F1357" w:rsidRPr="00A261B0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тыс. рублей, в основном, по неналоговым доходам.</w:t>
      </w:r>
    </w:p>
    <w:p w:rsidR="0079173C" w:rsidRPr="00A632E7" w:rsidRDefault="00DF364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Расходная часть бюджета Миасского городского округа 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исполнена в сумме </w:t>
      </w:r>
      <w:r w:rsidR="00A632E7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A632E7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989,8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 при уточненном бюджете Округа на 202</w:t>
      </w:r>
      <w:r w:rsidR="00A632E7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 в сумме </w:t>
      </w:r>
      <w:r w:rsidR="00A632E7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A632E7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109,4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или 98,</w:t>
      </w:r>
      <w:r w:rsidR="00A632E7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="00176081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%.</w:t>
      </w:r>
      <w:r w:rsidR="0079173C"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в том числе:</w:t>
      </w:r>
    </w:p>
    <w:p w:rsidR="0079173C" w:rsidRPr="00276234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выполнены переданные государственные полномочия  в сумме  2 млрд. 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822,7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(99,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Округа);</w:t>
      </w:r>
    </w:p>
    <w:p w:rsidR="00BB0248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собственные полномочия  в сумме 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167,1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</w:t>
      </w:r>
      <w:r w:rsidR="00152E3E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Округа).</w:t>
      </w:r>
    </w:p>
    <w:p w:rsidR="008A15F6" w:rsidRDefault="00BB0248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Увеличение расходов  к уровню  2022 года  составило 35,8 %, или 2 млрд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  <w:r w:rsidRPr="00A632E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105 млн. рублей</w:t>
      </w:r>
      <w:r w:rsidR="008A15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79173C" w:rsidRPr="00276234" w:rsidRDefault="008A15F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Исполнение бюджета Округа осуществлялось по казначейской системе.</w:t>
      </w:r>
      <w:r w:rsidR="0079173C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1B358C" w:rsidRPr="00276234" w:rsidRDefault="00EA66AE" w:rsidP="00603CA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Бюджет Миасского городского округа сохраняет свою социальную направленность. </w:t>
      </w:r>
    </w:p>
    <w:p w:rsidR="00BB0248" w:rsidRDefault="00276234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623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Расходы на социальную сферу 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 2022 году составили  5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831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,9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рублей, или  73,0% от общего объема расходов. Доля расходов на финансирование социальной сферы в 2021 году составляла 77,3 %, или 4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551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,1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млн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рублей в общей сумме расходов бюджета Округа. Снижение доли связано с увеличением общего объема расходов, в то же время рост расходов на социальную сферу в суммарном выражении в сравнении с 2021 годом составил </w:t>
      </w:r>
    </w:p>
    <w:p w:rsidR="00276234" w:rsidRPr="00276234" w:rsidRDefault="00276234" w:rsidP="00BB0248">
      <w:pPr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,9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тыс. рублей. </w:t>
      </w:r>
    </w:p>
    <w:p w:rsidR="008D3866" w:rsidRDefault="00276234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Основные причины увеличения расходов:</w:t>
      </w:r>
    </w:p>
    <w:p w:rsidR="00BB0248" w:rsidRDefault="00BB0248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P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обеспечение доведения заработной платы </w:t>
      </w:r>
      <w:proofErr w:type="gramStart"/>
      <w:r w:rsidRP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до</w:t>
      </w:r>
      <w:proofErr w:type="gramEnd"/>
      <w:r w:rsidRP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gramStart"/>
      <w:r w:rsidRP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МРОТ</w:t>
      </w:r>
      <w:proofErr w:type="gramEnd"/>
      <w:r w:rsidRP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(с  14710,8 рублей до 15973,5 рублей с 01.01.2022 года и до 17570,8 рублей с 01.06.2022 года)  и до установленных индикативных показателей по отдельным категориям работников бюджетной сферы, установленных Указами Президента и распоряжением Правительства Челябинской области</w:t>
      </w:r>
    </w:p>
    <w:p w:rsidR="008D3866" w:rsidRDefault="00BB0248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Pr="00BB02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выкуп здания для размещения новой общеобразовательной  организации МАОУ «Образовательный центр»   и начало работы нового учреждения с 01.09.2022 года</w:t>
      </w:r>
      <w:r w:rsidR="008D3866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276234" w:rsidRPr="00276234" w:rsidRDefault="008D386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капитальные вложения в объекты физической культуры и спорта, закупка оборудования для создания «умных спортивных 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площадок» и индексация социальных пособий в соответствии с Законами Челябинской области и др.</w:t>
      </w:r>
    </w:p>
    <w:p w:rsidR="00276234" w:rsidRPr="00276234" w:rsidRDefault="0027623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27623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На расходы в сфере экономики 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(жилищно-коммун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альное хозяйство, транспорт, до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рожное хозяйство, и т.д.) направлено 1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млрд.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803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,4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рублей, или 22,6 % от общего объема расходов. В 2021 году данные показатели составляли соответственно 1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млрд.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,5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 рублей  и 17,6 %. </w:t>
      </w:r>
    </w:p>
    <w:p w:rsidR="00276234" w:rsidRDefault="0027623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Основные причины роста расходов в 2022 году на 74,2%, или на сумму 767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,9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млн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. рублей:</w:t>
      </w:r>
    </w:p>
    <w:p w:rsidR="00276234" w:rsidRDefault="0027623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увеличение объема межбюджетных трансфертов на обеспечение мероприятий  по переселению граждан из аварийного жилищного фонда; </w:t>
      </w:r>
    </w:p>
    <w:p w:rsidR="008D3866" w:rsidRDefault="0027623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</w:t>
      </w:r>
      <w:r w:rsidR="00BB024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поступление средств из областного бюджета на  организацию регулярных перевозок пассажиров электрическим транспортом, на приобретение и ремонт подвижного состава для обеспечения пассажирских перевозок;  </w:t>
      </w:r>
    </w:p>
    <w:p w:rsidR="00276234" w:rsidRDefault="008D3866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-</w:t>
      </w:r>
      <w:r w:rsidR="00276234" w:rsidRPr="00276234">
        <w:rPr>
          <w:rFonts w:ascii="Times New Roman" w:eastAsia="Times New Roman" w:hAnsi="Times New Roman" w:cs="Times New Roman"/>
          <w:spacing w:val="20"/>
          <w:sz w:val="28"/>
          <w:szCs w:val="28"/>
        </w:rPr>
        <w:t>увеличение объема средств, направленных на проведение капитального ремонта и содержания дорог общего пользования (с учетом средств, привлеченных из областного бюджета).</w:t>
      </w:r>
    </w:p>
    <w:p w:rsidR="00BB0248" w:rsidRDefault="00BB0248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B0248">
        <w:rPr>
          <w:rFonts w:ascii="Times New Roman" w:eastAsia="Times New Roman" w:hAnsi="Times New Roman" w:cs="Times New Roman"/>
          <w:spacing w:val="20"/>
          <w:sz w:val="28"/>
          <w:szCs w:val="28"/>
        </w:rPr>
        <w:t>По состоянию на 01.01.2023 года муниципальный долг отсутствует. Гарантии и поручительства в 2022 году не предоставлялись.</w:t>
      </w:r>
    </w:p>
    <w:p w:rsidR="00BB0248" w:rsidRDefault="00BB0248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B0248">
        <w:rPr>
          <w:rFonts w:ascii="Times New Roman" w:eastAsia="Times New Roman" w:hAnsi="Times New Roman" w:cs="Times New Roman"/>
          <w:spacing w:val="20"/>
          <w:sz w:val="28"/>
          <w:szCs w:val="28"/>
        </w:rPr>
        <w:t>Бюджетная обеспеченность на одного жителя в отчетном году составила 48,4 тыс. рублей (в 2021 году – 35,7 тыс. рублей).</w:t>
      </w:r>
    </w:p>
    <w:p w:rsidR="008A15F6" w:rsidRPr="00276234" w:rsidRDefault="008A15F6" w:rsidP="008A15F6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В течение отчетного периода 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информация об исполнении бюджета регулярно предоставлялась 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>в Собрание депутатов Миасского городского округа и Контрольно-счетную палату Миасского городского округа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На постоянной основе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проводились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мероприятия по обеспечению доступности бюджетных данных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для жителей Округа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>. В течение 2022 года на официальном сайте Администрации Миасского городского округа, в официальных периодических изданиях и в информационно-телекоммуникационной сети «Интернет» размещались</w:t>
      </w:r>
      <w:r w:rsidR="0050550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>проекты решений о внесении изменений в бюджет Округа за отчетный период; информаци</w:t>
      </w:r>
      <w:r w:rsidR="00505508">
        <w:rPr>
          <w:rFonts w:ascii="Times New Roman" w:eastAsia="Times New Roman" w:hAnsi="Times New Roman" w:cs="Times New Roman"/>
          <w:spacing w:val="20"/>
          <w:sz w:val="28"/>
          <w:szCs w:val="28"/>
        </w:rPr>
        <w:t>и об исполнении бюджета Миасского городского округа</w:t>
      </w:r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; </w:t>
      </w:r>
      <w:r w:rsidR="00505508">
        <w:rPr>
          <w:rFonts w:ascii="Times New Roman" w:eastAsia="Times New Roman" w:hAnsi="Times New Roman" w:cs="Times New Roman"/>
          <w:spacing w:val="20"/>
          <w:sz w:val="28"/>
          <w:szCs w:val="28"/>
        </w:rPr>
        <w:t>брошюры</w:t>
      </w:r>
      <w:bookmarkStart w:id="0" w:name="_GoBack"/>
      <w:bookmarkEnd w:id="0"/>
      <w:r w:rsidRPr="008A15F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«Бюджет для граждан» об исполнении бюджета Миасского городского округа за 2021 год и к проекту бюджета Миасского городского округа  на 2023 год и плановый период 2024 и 2025 годов. Кроме того, в целях учета мнения жителей Округа, проводились опросы по содержанию и структуре  брошюры «Бюджет для граждан».</w:t>
      </w:r>
    </w:p>
    <w:p w:rsidR="0079173C" w:rsidRPr="00AA0260" w:rsidRDefault="0079173C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</w:pPr>
      <w:r w:rsidRPr="00AA0260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  <w:lastRenderedPageBreak/>
        <w:t>Участники публичных слушаний рекомендуют:</w:t>
      </w:r>
    </w:p>
    <w:p w:rsidR="0079173C" w:rsidRPr="00AA0260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75" w:right="57" w:firstLine="634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Собранию депутатов Миасского городского округа рассмотреть проект решения «Об исполнении бюджета Миасского городского округа за 20</w:t>
      </w:r>
      <w:r w:rsidR="008B78EB"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2</w:t>
      </w:r>
      <w:r w:rsidR="00AA026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2</w:t>
      </w:r>
      <w:r w:rsidRPr="00AA0260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год» </w:t>
      </w: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>и принять его.</w:t>
      </w:r>
    </w:p>
    <w:p w:rsidR="0079173C" w:rsidRPr="00AA0260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142" w:right="57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Администрации Миасского городского округа продолжить работу: </w:t>
      </w:r>
    </w:p>
    <w:p w:rsidR="0079173C" w:rsidRPr="00AA0260" w:rsidRDefault="0079173C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привлечению в бюджет Миасского городского округа средств из вышестоящих бюджетов для дополнительного финансирования приоритетных направлений социально-экономического развития; </w:t>
      </w:r>
    </w:p>
    <w:p w:rsidR="00342DE6" w:rsidRPr="00AA0260" w:rsidRDefault="00342DE6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</w:t>
      </w:r>
      <w:proofErr w:type="gramStart"/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контролю за</w:t>
      </w:r>
      <w:proofErr w:type="gramEnd"/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обеспечением завершения строительства и ввода в эксплуатацию объектов капитально строительства;</w:t>
      </w:r>
    </w:p>
    <w:p w:rsidR="00342DE6" w:rsidRPr="00AA0260" w:rsidRDefault="00342DE6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="0079173C"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>)</w:t>
      </w:r>
      <w:r w:rsidR="0079173C"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межведомственных комиссий по </w:t>
      </w:r>
      <w:r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обеспечению полноты и своевременности поступлений налогов, сборов в бюджет Округа, сокращения задолженности организаций по налогам и сборам в бюджетную систему Российской Федерации, а также по координации действий по работе с организациями, имеющими неудовлетворительные экономические показатели</w:t>
      </w:r>
      <w:r w:rsidR="008E147C" w:rsidRPr="00AA0260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</w:p>
    <w:p w:rsidR="00342DE6" w:rsidRPr="00B548F9" w:rsidRDefault="0079173C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3.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Главным администраторам доходов бюджета Округа повысить </w:t>
      </w:r>
      <w:r w:rsidR="00342DE6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уровень собираемости и качество 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прогноз</w:t>
      </w:r>
      <w:r w:rsidR="00342DE6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ирования поступления администрируемых доходов в бюджет Округа, а также продолжить работу по сокращению имеющейся задолженности и приняти</w:t>
      </w:r>
      <w:r w:rsidR="008A15F6">
        <w:rPr>
          <w:rFonts w:ascii="Times New Roman" w:eastAsia="Times New Roman" w:hAnsi="Times New Roman" w:cs="Times New Roman"/>
          <w:spacing w:val="20"/>
          <w:sz w:val="28"/>
          <w:szCs w:val="28"/>
        </w:rPr>
        <w:t>ю</w:t>
      </w:r>
      <w:r w:rsidR="00342DE6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своевременных мер по ее взысканию.</w:t>
      </w:r>
    </w:p>
    <w:p w:rsidR="00E227A7" w:rsidRPr="00B548F9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4.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Главным распорядителям средств бюджета Округа</w:t>
      </w:r>
      <w:r w:rsidR="00E227A7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</w:p>
    <w:p w:rsidR="0079173C" w:rsidRPr="00B548F9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1) </w:t>
      </w:r>
      <w:r w:rsidR="00E227A7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по 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осуществл</w:t>
      </w:r>
      <w:r w:rsidR="00E227A7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ению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</w:t>
      </w:r>
      <w:r w:rsidR="00E227A7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я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за</w:t>
      </w:r>
      <w:proofErr w:type="gramEnd"/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достижением высоких показателей качества управления финансами и укрепления финансовой дисциплины;</w:t>
      </w:r>
    </w:p>
    <w:p w:rsidR="00722281" w:rsidRPr="00B548F9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) </w:t>
      </w:r>
      <w:r w:rsidR="00E227A7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</w:t>
      </w:r>
      <w:r w:rsidR="00E227A7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</w:t>
      </w:r>
      <w:r w:rsidR="00031E2D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ению 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целево</w:t>
      </w:r>
      <w:r w:rsidR="00031E2D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использовани</w:t>
      </w:r>
      <w:r w:rsidR="00031E2D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я 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</w:t>
      </w:r>
      <w:r w:rsidR="0079173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повыш</w:t>
      </w:r>
      <w:r w:rsidR="00031E2D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ению</w:t>
      </w:r>
      <w:r w:rsidR="0079173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эффективность </w:t>
      </w:r>
      <w:r w:rsidR="00031E2D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расходования</w:t>
      </w:r>
      <w:r w:rsidR="00CE06B0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бюджетных средств, в том числе предусмотренных на реализацию национальных проектов</w:t>
      </w:r>
      <w:r w:rsidR="001B358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79173C" w:rsidRPr="00B548F9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усилить контроль за выполнением учреждениями Округа </w:t>
      </w:r>
      <w:r w:rsidRPr="00B548F9">
        <w:rPr>
          <w:rFonts w:ascii="Times New Roman" w:hAnsi="Times New Roman"/>
          <w:sz w:val="28"/>
          <w:szCs w:val="28"/>
          <w:lang w:eastAsia="ru-RU"/>
        </w:rPr>
        <w:t>муниципальных заданий на оказание муниципальных услуг</w:t>
      </w: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, в том числе за </w:t>
      </w:r>
      <w:proofErr w:type="gramStart"/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достижением</w:t>
      </w:r>
      <w:proofErr w:type="gramEnd"/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установленных в них показателей;</w:t>
      </w:r>
    </w:p>
    <w:p w:rsidR="00EF2156" w:rsidRPr="00B548F9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4</w:t>
      </w:r>
      <w:r w:rsidR="0079173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</w:t>
      </w:r>
      <w:r w:rsidR="00EF2156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не допускать</w:t>
      </w:r>
      <w:r w:rsidR="0079173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</w:t>
      </w:r>
    </w:p>
    <w:p w:rsidR="0079173C" w:rsidRPr="00B548F9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 принятие новых расходных обязатель</w:t>
      </w:r>
      <w:proofErr w:type="gramStart"/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ств пр</w:t>
      </w:r>
      <w:proofErr w:type="gramEnd"/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отсутствии средств на финансирование действующих расходных обязательств;</w:t>
      </w:r>
      <w:r w:rsidR="0079173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EF2156" w:rsidRPr="00B548F9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- </w:t>
      </w: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образования просроченной кредиторской задолженности по расходным обязательствам Округа</w:t>
      </w:r>
      <w:r w:rsidR="00722281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, в первую очередь, по заработной плате работникам муниципальных учреждений;</w:t>
      </w:r>
    </w:p>
    <w:p w:rsidR="00722281" w:rsidRPr="00B548F9" w:rsidRDefault="0072228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- принятие бюджетных обязательств в размерах, превышающих доведенные лимиты бюджетных обязательств;</w:t>
      </w:r>
    </w:p>
    <w:p w:rsidR="00722281" w:rsidRPr="00B548F9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lastRenderedPageBreak/>
        <w:tab/>
        <w:t>5</w:t>
      </w:r>
      <w:r w:rsidR="00722281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обеспечить </w:t>
      </w:r>
      <w:r w:rsidR="00603CAB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выполнение индикативных показателей</w:t>
      </w:r>
      <w:r w:rsidR="00722281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средней заработной платы работников бюджетной сферы в соответствии с Указами Президента Российской Федерации от 07.05.2012 года</w:t>
      </w:r>
      <w:r w:rsidR="00603CAB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и</w:t>
      </w:r>
      <w:r w:rsidR="00603CAB" w:rsidRPr="00B548F9">
        <w:t xml:space="preserve"> </w:t>
      </w:r>
      <w:r w:rsidR="00603CAB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доведение заработной платы до минимального </w:t>
      </w:r>
      <w:proofErr w:type="gramStart"/>
      <w:r w:rsidR="00603CAB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размера оплаты труда</w:t>
      </w:r>
      <w:proofErr w:type="gramEnd"/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807611" w:rsidRPr="00B548F9" w:rsidRDefault="0080761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5. Межрайонной ИФНС России № 23 по </w:t>
      </w:r>
      <w:r w:rsidRPr="002C16CE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Челябинской области </w:t>
      </w: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продолжить работу по: </w:t>
      </w:r>
    </w:p>
    <w:p w:rsidR="003E7605" w:rsidRPr="00B548F9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1) </w:t>
      </w:r>
      <w:r w:rsidR="003E7605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обеспечению своевременного и в полном объеме поступления в бюджет Округа налогов и сборов;</w:t>
      </w:r>
    </w:p>
    <w:p w:rsidR="003E7605" w:rsidRPr="00B548F9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2) </w:t>
      </w:r>
      <w:r w:rsidR="00807611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реализации предусмотренных законодательством Российской Федерации мер по обеспечению полноты взыскания имеющейся задолженности по налогам</w:t>
      </w:r>
      <w:r w:rsidR="003E7605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и </w:t>
      </w:r>
      <w:r w:rsidR="00807611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сборам в бюджеты бюджетной системы Российской Федерации</w:t>
      </w:r>
      <w:r w:rsidR="00E65F1A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3E7605" w:rsidRPr="00B548F9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317ECF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</w:t>
      </w:r>
      <w:r w:rsidR="003E7605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проведению комплексных мероприятий по легализации налоговой базы и объектов налогообложения, в том числе по легализации заработной платы, а также по сокращению неформальной занятости населения</w:t>
      </w:r>
      <w:r w:rsidR="00E65F1A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  <w:r w:rsidR="003E7605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807611" w:rsidRPr="00B548F9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</w:r>
      <w:r w:rsidR="00E65F1A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4) </w:t>
      </w:r>
      <w:r w:rsidR="00807611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актуализации базы данных налоговых органов с целью обеспечения полноты и правильности исчисления имущественных налогов, а также уплаты физическими и юридическими лицами соответствующих налогов</w:t>
      </w:r>
      <w:r w:rsidR="00370218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79173C" w:rsidRPr="00B548F9" w:rsidRDefault="0080761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ab/>
      </w:r>
      <w:r w:rsidR="0079173C" w:rsidRPr="00B548F9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Миасского городского округа, </w:t>
      </w:r>
      <w:r w:rsidR="0079173C" w:rsidRPr="00B548F9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обеспечивать своевременное и полное перечисление текущих платежей, а также погашение имеющейся задолженности по платежам в бюджетную систему Российской Федерации.</w:t>
      </w:r>
    </w:p>
    <w:p w:rsidR="00B607A4" w:rsidRDefault="00B607A4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9173C" w:rsidRPr="00B548F9" w:rsidRDefault="0079173C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г. Миасс                                         </w:t>
      </w:r>
      <w:r w:rsidR="00E227A7"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</w:t>
      </w:r>
      <w:r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</w:t>
      </w:r>
      <w:r w:rsidR="00E168A6"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>20</w:t>
      </w:r>
      <w:r w:rsidR="00E168A6"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>2</w:t>
      </w:r>
      <w:r w:rsidR="00204F51"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>3</w:t>
      </w:r>
      <w:r w:rsidRPr="00B548F9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год</w:t>
      </w:r>
    </w:p>
    <w:p w:rsidR="004F7573" w:rsidRPr="00B548F9" w:rsidRDefault="004F7573"/>
    <w:sectPr w:rsidR="004F7573" w:rsidRPr="00B548F9" w:rsidSect="00B607A4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BF2"/>
    <w:multiLevelType w:val="hybridMultilevel"/>
    <w:tmpl w:val="8A987922"/>
    <w:lvl w:ilvl="0" w:tplc="DFEAC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3977"/>
    <w:multiLevelType w:val="hybridMultilevel"/>
    <w:tmpl w:val="1F380C60"/>
    <w:lvl w:ilvl="0" w:tplc="64B28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287"/>
    <w:multiLevelType w:val="hybridMultilevel"/>
    <w:tmpl w:val="F27C030E"/>
    <w:lvl w:ilvl="0" w:tplc="BF8AAB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427B"/>
    <w:multiLevelType w:val="hybridMultilevel"/>
    <w:tmpl w:val="6D6E8A0E"/>
    <w:lvl w:ilvl="0" w:tplc="DFEA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A2778C7"/>
    <w:multiLevelType w:val="hybridMultilevel"/>
    <w:tmpl w:val="76A04984"/>
    <w:lvl w:ilvl="0" w:tplc="DFEAC0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3C"/>
    <w:rsid w:val="000005AE"/>
    <w:rsid w:val="00000825"/>
    <w:rsid w:val="00010F07"/>
    <w:rsid w:val="00014CAE"/>
    <w:rsid w:val="00031E2D"/>
    <w:rsid w:val="00061A0C"/>
    <w:rsid w:val="00067E67"/>
    <w:rsid w:val="000703F4"/>
    <w:rsid w:val="00081AF4"/>
    <w:rsid w:val="000A7933"/>
    <w:rsid w:val="000B11FD"/>
    <w:rsid w:val="000C41C8"/>
    <w:rsid w:val="00104324"/>
    <w:rsid w:val="00115C8E"/>
    <w:rsid w:val="00124913"/>
    <w:rsid w:val="0012649A"/>
    <w:rsid w:val="00141585"/>
    <w:rsid w:val="00152E3E"/>
    <w:rsid w:val="00153571"/>
    <w:rsid w:val="00176081"/>
    <w:rsid w:val="00197A88"/>
    <w:rsid w:val="001A780E"/>
    <w:rsid w:val="001B358C"/>
    <w:rsid w:val="001D3DCE"/>
    <w:rsid w:val="001D3F1C"/>
    <w:rsid w:val="001E0779"/>
    <w:rsid w:val="001E1E72"/>
    <w:rsid w:val="00204C84"/>
    <w:rsid w:val="00204F51"/>
    <w:rsid w:val="00210561"/>
    <w:rsid w:val="0021441E"/>
    <w:rsid w:val="002145DB"/>
    <w:rsid w:val="00221E8D"/>
    <w:rsid w:val="002323BC"/>
    <w:rsid w:val="00245574"/>
    <w:rsid w:val="002673BC"/>
    <w:rsid w:val="00267DD7"/>
    <w:rsid w:val="00276234"/>
    <w:rsid w:val="002921F5"/>
    <w:rsid w:val="002B751C"/>
    <w:rsid w:val="002C16CE"/>
    <w:rsid w:val="002C5CEC"/>
    <w:rsid w:val="002C6EF6"/>
    <w:rsid w:val="002E30BD"/>
    <w:rsid w:val="00304BFA"/>
    <w:rsid w:val="00317ECF"/>
    <w:rsid w:val="0033444E"/>
    <w:rsid w:val="00342DE6"/>
    <w:rsid w:val="00353BBE"/>
    <w:rsid w:val="003673C2"/>
    <w:rsid w:val="00367922"/>
    <w:rsid w:val="00370218"/>
    <w:rsid w:val="003743E9"/>
    <w:rsid w:val="00383017"/>
    <w:rsid w:val="0038796B"/>
    <w:rsid w:val="00391AFF"/>
    <w:rsid w:val="00396B13"/>
    <w:rsid w:val="003A31E6"/>
    <w:rsid w:val="003A4D38"/>
    <w:rsid w:val="003A5D2A"/>
    <w:rsid w:val="003B08E8"/>
    <w:rsid w:val="003C04FA"/>
    <w:rsid w:val="003E0052"/>
    <w:rsid w:val="003E7605"/>
    <w:rsid w:val="003F6FC9"/>
    <w:rsid w:val="003F7E2A"/>
    <w:rsid w:val="0040718E"/>
    <w:rsid w:val="00443F5E"/>
    <w:rsid w:val="004454A0"/>
    <w:rsid w:val="0045293E"/>
    <w:rsid w:val="0046460A"/>
    <w:rsid w:val="00467674"/>
    <w:rsid w:val="00483562"/>
    <w:rsid w:val="0048650E"/>
    <w:rsid w:val="0049420F"/>
    <w:rsid w:val="004A00B2"/>
    <w:rsid w:val="004A1001"/>
    <w:rsid w:val="004A55E9"/>
    <w:rsid w:val="004B04B8"/>
    <w:rsid w:val="004B6F5E"/>
    <w:rsid w:val="004C15AE"/>
    <w:rsid w:val="004C5A68"/>
    <w:rsid w:val="004E0A63"/>
    <w:rsid w:val="004F7573"/>
    <w:rsid w:val="00505508"/>
    <w:rsid w:val="0051439B"/>
    <w:rsid w:val="00515751"/>
    <w:rsid w:val="00590300"/>
    <w:rsid w:val="00593599"/>
    <w:rsid w:val="005A24B5"/>
    <w:rsid w:val="005A7680"/>
    <w:rsid w:val="005E35F6"/>
    <w:rsid w:val="005F1357"/>
    <w:rsid w:val="00600C49"/>
    <w:rsid w:val="00603CAB"/>
    <w:rsid w:val="006232B2"/>
    <w:rsid w:val="00630340"/>
    <w:rsid w:val="006368AE"/>
    <w:rsid w:val="00647739"/>
    <w:rsid w:val="00665476"/>
    <w:rsid w:val="00677E31"/>
    <w:rsid w:val="00681F19"/>
    <w:rsid w:val="00690FE7"/>
    <w:rsid w:val="00693013"/>
    <w:rsid w:val="006A347D"/>
    <w:rsid w:val="006B0F7D"/>
    <w:rsid w:val="006D01B9"/>
    <w:rsid w:val="006D312E"/>
    <w:rsid w:val="006D7EF0"/>
    <w:rsid w:val="006E0F14"/>
    <w:rsid w:val="00722281"/>
    <w:rsid w:val="00754151"/>
    <w:rsid w:val="00760856"/>
    <w:rsid w:val="00781C42"/>
    <w:rsid w:val="0079173C"/>
    <w:rsid w:val="00793F6B"/>
    <w:rsid w:val="00795AE6"/>
    <w:rsid w:val="007C4386"/>
    <w:rsid w:val="007E3A30"/>
    <w:rsid w:val="007E5C00"/>
    <w:rsid w:val="007F4E3D"/>
    <w:rsid w:val="00804A15"/>
    <w:rsid w:val="00807611"/>
    <w:rsid w:val="00812E68"/>
    <w:rsid w:val="00813E47"/>
    <w:rsid w:val="0082116F"/>
    <w:rsid w:val="0082433E"/>
    <w:rsid w:val="00851E7E"/>
    <w:rsid w:val="008720B7"/>
    <w:rsid w:val="0087708D"/>
    <w:rsid w:val="00895D70"/>
    <w:rsid w:val="008A15F6"/>
    <w:rsid w:val="008A7F0F"/>
    <w:rsid w:val="008B78EB"/>
    <w:rsid w:val="008D3866"/>
    <w:rsid w:val="008E147C"/>
    <w:rsid w:val="009311EE"/>
    <w:rsid w:val="00942553"/>
    <w:rsid w:val="00953387"/>
    <w:rsid w:val="00954372"/>
    <w:rsid w:val="0096232B"/>
    <w:rsid w:val="00967BCB"/>
    <w:rsid w:val="009831BF"/>
    <w:rsid w:val="009862B7"/>
    <w:rsid w:val="0099427C"/>
    <w:rsid w:val="009A530D"/>
    <w:rsid w:val="009B19AF"/>
    <w:rsid w:val="009B3244"/>
    <w:rsid w:val="009D6AD6"/>
    <w:rsid w:val="009D7B78"/>
    <w:rsid w:val="009E1E50"/>
    <w:rsid w:val="009E2B55"/>
    <w:rsid w:val="009E3E4F"/>
    <w:rsid w:val="00A061E1"/>
    <w:rsid w:val="00A231DD"/>
    <w:rsid w:val="00A261B0"/>
    <w:rsid w:val="00A35207"/>
    <w:rsid w:val="00A5210A"/>
    <w:rsid w:val="00A57CA8"/>
    <w:rsid w:val="00A60731"/>
    <w:rsid w:val="00A632E7"/>
    <w:rsid w:val="00A70626"/>
    <w:rsid w:val="00A729FC"/>
    <w:rsid w:val="00A7578B"/>
    <w:rsid w:val="00A775DE"/>
    <w:rsid w:val="00A828CB"/>
    <w:rsid w:val="00AA0260"/>
    <w:rsid w:val="00AA16D5"/>
    <w:rsid w:val="00AA6311"/>
    <w:rsid w:val="00AC3A63"/>
    <w:rsid w:val="00AE2D0A"/>
    <w:rsid w:val="00B06082"/>
    <w:rsid w:val="00B066C2"/>
    <w:rsid w:val="00B548F9"/>
    <w:rsid w:val="00B607A4"/>
    <w:rsid w:val="00B76564"/>
    <w:rsid w:val="00B822D8"/>
    <w:rsid w:val="00B85AA9"/>
    <w:rsid w:val="00BB0248"/>
    <w:rsid w:val="00BB3471"/>
    <w:rsid w:val="00BC3A33"/>
    <w:rsid w:val="00BD1A8E"/>
    <w:rsid w:val="00BE38F1"/>
    <w:rsid w:val="00BF25D4"/>
    <w:rsid w:val="00C035AE"/>
    <w:rsid w:val="00C05993"/>
    <w:rsid w:val="00C15D03"/>
    <w:rsid w:val="00C34348"/>
    <w:rsid w:val="00C5557F"/>
    <w:rsid w:val="00C60BA0"/>
    <w:rsid w:val="00CA15D3"/>
    <w:rsid w:val="00CD0978"/>
    <w:rsid w:val="00CE06B0"/>
    <w:rsid w:val="00D152F1"/>
    <w:rsid w:val="00D15A1D"/>
    <w:rsid w:val="00D23199"/>
    <w:rsid w:val="00D63E35"/>
    <w:rsid w:val="00D948F9"/>
    <w:rsid w:val="00DA787E"/>
    <w:rsid w:val="00DB184B"/>
    <w:rsid w:val="00DB4D94"/>
    <w:rsid w:val="00DB51F6"/>
    <w:rsid w:val="00DB5D5B"/>
    <w:rsid w:val="00DB7687"/>
    <w:rsid w:val="00DC4429"/>
    <w:rsid w:val="00DC5C66"/>
    <w:rsid w:val="00DE3937"/>
    <w:rsid w:val="00DF3646"/>
    <w:rsid w:val="00E168A6"/>
    <w:rsid w:val="00E16E0E"/>
    <w:rsid w:val="00E227A7"/>
    <w:rsid w:val="00E251C1"/>
    <w:rsid w:val="00E540AF"/>
    <w:rsid w:val="00E65F1A"/>
    <w:rsid w:val="00E71EFE"/>
    <w:rsid w:val="00E7607D"/>
    <w:rsid w:val="00E86B2A"/>
    <w:rsid w:val="00EA66AE"/>
    <w:rsid w:val="00EB2EB3"/>
    <w:rsid w:val="00ED1A2A"/>
    <w:rsid w:val="00ED6284"/>
    <w:rsid w:val="00ED6E05"/>
    <w:rsid w:val="00EF2156"/>
    <w:rsid w:val="00EF6ADD"/>
    <w:rsid w:val="00EF76E6"/>
    <w:rsid w:val="00F13591"/>
    <w:rsid w:val="00F13BD5"/>
    <w:rsid w:val="00F27B4B"/>
    <w:rsid w:val="00F32398"/>
    <w:rsid w:val="00F47F2E"/>
    <w:rsid w:val="00F732CA"/>
    <w:rsid w:val="00FA6A4C"/>
    <w:rsid w:val="00FE3E09"/>
    <w:rsid w:val="00FE523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29</cp:revision>
  <cp:lastPrinted>2021-04-02T05:33:00Z</cp:lastPrinted>
  <dcterms:created xsi:type="dcterms:W3CDTF">2023-03-13T07:30:00Z</dcterms:created>
  <dcterms:modified xsi:type="dcterms:W3CDTF">2023-03-15T05:30:00Z</dcterms:modified>
</cp:coreProperties>
</file>