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582430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582430" w:rsidRDefault="00582430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8.2pt;z-index:251658240" strokecolor="white">
            <v:textbox style="mso-next-textbox:#_x0000_s1026">
              <w:txbxContent>
                <w:p w:rsidR="00582430" w:rsidRDefault="00582430" w:rsidP="00582430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«О назначении собрания граждан по инициативному проекту «Благоустройство дворовой территории пр. Автозаводцев, д. 35»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пр. Автозаводцев, д. 35», Распоряжение  Администрации Миасского городского округа от 15.02.2021г. № 46-р «Об определении предполагаемой части территории для реализации инициативного проекта  «Благоустройство дворовой территории пр. </w:t>
      </w:r>
      <w:proofErr w:type="gramStart"/>
      <w:r>
        <w:rPr>
          <w:sz w:val="24"/>
          <w:szCs w:val="24"/>
        </w:rPr>
        <w:t xml:space="preserve">Автозаводцев, д. 35»,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26.08.2005 г. №10 «О принятии Положения «О порядке назначения и проведения собрания граждан в Миасском городском округе» (в ред. решения № 10 от 25.12.2020г.), </w:t>
      </w:r>
      <w:r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>
        <w:rPr>
          <w:sz w:val="24"/>
          <w:szCs w:val="24"/>
        </w:rPr>
        <w:t xml:space="preserve"> в Российской Федерации»,  и Уставом Миасского городского округа,  Собрание депутатов  Миасского городского округа</w:t>
      </w:r>
    </w:p>
    <w:p w:rsidR="00582430" w:rsidRDefault="00582430" w:rsidP="00582430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582430" w:rsidRDefault="00582430" w:rsidP="0058243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пр. Автозаводцев, д. 35» назначить собрание граждан. Часть территории Миасского городского округа, на которой будет реализовываться инициативный проект «Благоустройство дворовой территории пр. </w:t>
      </w:r>
      <w:proofErr w:type="gramStart"/>
      <w:r>
        <w:rPr>
          <w:sz w:val="24"/>
          <w:szCs w:val="24"/>
        </w:rPr>
        <w:t>Автозаводцев, д. 35» определена Распоряжением Администрации Миасского городского округа от 15.02.2021г. № 46-р «Об определении предполагаемой части территории для реализации инициативного проекта «Благоустройство дворовой территории пр.</w:t>
      </w:r>
      <w:proofErr w:type="gramEnd"/>
      <w:r>
        <w:rPr>
          <w:sz w:val="24"/>
          <w:szCs w:val="24"/>
        </w:rPr>
        <w:t xml:space="preserve"> Автозаводцев, д. 35».</w:t>
      </w:r>
    </w:p>
    <w:p w:rsidR="00582430" w:rsidRDefault="00582430" w:rsidP="0058243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12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пр. Автозаводцев, д. 35.</w:t>
      </w:r>
    </w:p>
    <w:p w:rsidR="00582430" w:rsidRDefault="00582430" w:rsidP="00582430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582430" w:rsidRDefault="00582430" w:rsidP="0058243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582430" w:rsidRDefault="00582430" w:rsidP="0058243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582430" w:rsidRDefault="00582430" w:rsidP="005824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BF0100" w:rsidRDefault="00582430" w:rsidP="00582430">
      <w:pPr>
        <w:ind w:right="-2"/>
        <w:jc w:val="both"/>
      </w:pPr>
      <w:r>
        <w:rPr>
          <w:sz w:val="24"/>
          <w:szCs w:val="24"/>
        </w:rPr>
        <w:t>Председатель Собрания депутатов                                                                   Д.Г. Проскурин</w:t>
      </w:r>
    </w:p>
    <w:sectPr w:rsidR="00BF0100" w:rsidSect="005824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30"/>
    <w:rsid w:val="00582430"/>
    <w:rsid w:val="00BF0100"/>
    <w:rsid w:val="00D6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2021-02-16T12:34:00Z</dcterms:created>
  <dcterms:modified xsi:type="dcterms:W3CDTF">2021-02-16T12:42:00Z</dcterms:modified>
</cp:coreProperties>
</file>