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D5" w:rsidRDefault="003B65D5" w:rsidP="003B65D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5D5" w:rsidRDefault="003B65D5" w:rsidP="003B65D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B65D5" w:rsidRDefault="003B65D5" w:rsidP="003B65D5">
      <w:pPr>
        <w:ind w:right="-1"/>
        <w:rPr>
          <w:b/>
          <w:bCs/>
          <w:sz w:val="24"/>
          <w:szCs w:val="24"/>
        </w:rPr>
      </w:pPr>
    </w:p>
    <w:p w:rsidR="003B65D5" w:rsidRDefault="003B65D5" w:rsidP="003B65D5">
      <w:pPr>
        <w:ind w:right="-1"/>
        <w:rPr>
          <w:b/>
          <w:bCs/>
          <w:sz w:val="24"/>
          <w:szCs w:val="24"/>
        </w:rPr>
      </w:pPr>
    </w:p>
    <w:p w:rsidR="003B65D5" w:rsidRDefault="003B65D5" w:rsidP="003B65D5">
      <w:pPr>
        <w:ind w:right="-1"/>
        <w:rPr>
          <w:b/>
          <w:bCs/>
          <w:sz w:val="24"/>
          <w:szCs w:val="24"/>
        </w:rPr>
      </w:pPr>
    </w:p>
    <w:p w:rsidR="003B65D5" w:rsidRDefault="003B65D5" w:rsidP="003B65D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B65D5" w:rsidRDefault="003B65D5" w:rsidP="003B6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B65D5" w:rsidRDefault="003B65D5" w:rsidP="003B65D5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3B65D5" w:rsidRDefault="003B65D5" w:rsidP="003B65D5">
      <w:pPr>
        <w:jc w:val="right"/>
        <w:rPr>
          <w:sz w:val="24"/>
        </w:rPr>
      </w:pPr>
    </w:p>
    <w:p w:rsidR="003B65D5" w:rsidRDefault="003B65D5" w:rsidP="003B65D5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3B65D5" w:rsidRDefault="003B65D5" w:rsidP="003B65D5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3B65D5" w:rsidRDefault="00944294" w:rsidP="003B65D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3B65D5" w:rsidRPr="00E05F78" w:rsidRDefault="003B65D5" w:rsidP="003B65D5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9016E">
                    <w:rPr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F9016E">
                    <w:rPr>
                      <w:sz w:val="24"/>
                      <w:szCs w:val="24"/>
                    </w:rPr>
                    <w:t>Ак</w:t>
                  </w:r>
                  <w:proofErr w:type="spellEnd"/>
                  <w:r w:rsidRPr="00F9016E">
                    <w:rPr>
                      <w:sz w:val="24"/>
                      <w:szCs w:val="24"/>
                    </w:rPr>
                    <w:t xml:space="preserve">. Павлова,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F9016E">
                    <w:rPr>
                      <w:sz w:val="24"/>
                      <w:szCs w:val="24"/>
                    </w:rPr>
                    <w:t>3</w:t>
                  </w: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B65D5" w:rsidRDefault="003B65D5" w:rsidP="003B65D5">
      <w:pPr>
        <w:pStyle w:val="ConsPlusTitle"/>
        <w:widowControl/>
        <w:jc w:val="center"/>
      </w:pPr>
    </w:p>
    <w:p w:rsidR="003B65D5" w:rsidRDefault="003B65D5" w:rsidP="003B65D5">
      <w:pPr>
        <w:pStyle w:val="ConsPlusTitle"/>
        <w:widowControl/>
        <w:jc w:val="center"/>
      </w:pPr>
    </w:p>
    <w:p w:rsidR="003B65D5" w:rsidRDefault="003B65D5" w:rsidP="003B65D5">
      <w:pPr>
        <w:pStyle w:val="ConsPlusTitle"/>
        <w:ind w:firstLine="709"/>
        <w:jc w:val="both"/>
        <w:rPr>
          <w:b w:val="0"/>
        </w:rPr>
      </w:pPr>
    </w:p>
    <w:p w:rsidR="003B65D5" w:rsidRDefault="003B65D5" w:rsidP="003B65D5">
      <w:pPr>
        <w:pStyle w:val="ConsPlusTitle"/>
        <w:ind w:firstLine="709"/>
        <w:jc w:val="both"/>
        <w:rPr>
          <w:b w:val="0"/>
        </w:rPr>
      </w:pPr>
    </w:p>
    <w:p w:rsidR="003B65D5" w:rsidRDefault="003B65D5" w:rsidP="003B65D5">
      <w:pPr>
        <w:pStyle w:val="ConsPlusTitle"/>
        <w:ind w:firstLine="709"/>
        <w:jc w:val="both"/>
        <w:rPr>
          <w:b w:val="0"/>
        </w:rPr>
      </w:pPr>
    </w:p>
    <w:p w:rsidR="003B65D5" w:rsidRPr="008727FB" w:rsidRDefault="003B65D5" w:rsidP="003B65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ТСЖ «Центральный»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ул. </w:t>
      </w:r>
      <w:proofErr w:type="spellStart"/>
      <w:r w:rsidRPr="00F9016E">
        <w:rPr>
          <w:sz w:val="24"/>
          <w:szCs w:val="24"/>
        </w:rPr>
        <w:t>Ак</w:t>
      </w:r>
      <w:proofErr w:type="spellEnd"/>
      <w:r w:rsidRPr="00F9016E">
        <w:rPr>
          <w:sz w:val="24"/>
          <w:szCs w:val="24"/>
        </w:rPr>
        <w:t xml:space="preserve">. Павлова,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3</w:t>
      </w:r>
      <w:r>
        <w:rPr>
          <w:sz w:val="24"/>
          <w:szCs w:val="24"/>
        </w:rPr>
        <w:t xml:space="preserve">», Распоряжение  Администрации Миасского городского округа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_______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ул. </w:t>
      </w:r>
      <w:proofErr w:type="spellStart"/>
      <w:r w:rsidRPr="00F9016E">
        <w:rPr>
          <w:sz w:val="24"/>
          <w:szCs w:val="24"/>
        </w:rPr>
        <w:t>Ак</w:t>
      </w:r>
      <w:proofErr w:type="spellEnd"/>
      <w:r w:rsidRPr="00F9016E">
        <w:rPr>
          <w:sz w:val="24"/>
          <w:szCs w:val="24"/>
        </w:rPr>
        <w:t xml:space="preserve">. </w:t>
      </w:r>
      <w:proofErr w:type="gramStart"/>
      <w:r w:rsidRPr="00F9016E">
        <w:rPr>
          <w:sz w:val="24"/>
          <w:szCs w:val="24"/>
        </w:rPr>
        <w:t xml:space="preserve">Павлова,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3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3B65D5" w:rsidRPr="00B0075F" w:rsidRDefault="003B65D5" w:rsidP="003B65D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3B65D5" w:rsidRDefault="003B65D5" w:rsidP="003B65D5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ул. </w:t>
      </w:r>
      <w:proofErr w:type="spellStart"/>
      <w:r w:rsidRPr="00F9016E">
        <w:rPr>
          <w:sz w:val="24"/>
          <w:szCs w:val="24"/>
        </w:rPr>
        <w:t>Ак</w:t>
      </w:r>
      <w:proofErr w:type="spellEnd"/>
      <w:r w:rsidRPr="00F9016E">
        <w:rPr>
          <w:sz w:val="24"/>
          <w:szCs w:val="24"/>
        </w:rPr>
        <w:t xml:space="preserve">. Павлова,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ул. </w:t>
      </w:r>
      <w:proofErr w:type="spellStart"/>
      <w:r w:rsidRPr="00F9016E">
        <w:rPr>
          <w:sz w:val="24"/>
          <w:szCs w:val="24"/>
        </w:rPr>
        <w:t>Ак</w:t>
      </w:r>
      <w:proofErr w:type="spellEnd"/>
      <w:r w:rsidRPr="00F9016E">
        <w:rPr>
          <w:sz w:val="24"/>
          <w:szCs w:val="24"/>
        </w:rPr>
        <w:t xml:space="preserve">. Павлова,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ул. </w:t>
      </w:r>
      <w:proofErr w:type="spellStart"/>
      <w:r w:rsidRPr="00F9016E">
        <w:rPr>
          <w:sz w:val="24"/>
          <w:szCs w:val="24"/>
        </w:rPr>
        <w:t>Ак</w:t>
      </w:r>
      <w:proofErr w:type="spellEnd"/>
      <w:r w:rsidRPr="00F9016E">
        <w:rPr>
          <w:sz w:val="24"/>
          <w:szCs w:val="24"/>
        </w:rPr>
        <w:t xml:space="preserve">. Павлова,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3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3B65D5" w:rsidRDefault="003B65D5" w:rsidP="003B65D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20.02.2021 года с 17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ул.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>. Павлова, д.3.</w:t>
      </w:r>
    </w:p>
    <w:p w:rsidR="003B65D5" w:rsidRDefault="003B65D5" w:rsidP="003B65D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ТСЖ «Центральный»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3B65D5" w:rsidRPr="00107762" w:rsidRDefault="003B65D5" w:rsidP="003B65D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ТСЖ «Центральный»  принять меры по обеспечению общественного порядка и санитарных норм при проведении собрания граждан.</w:t>
      </w:r>
    </w:p>
    <w:p w:rsidR="003B65D5" w:rsidRPr="00B0075F" w:rsidRDefault="003B65D5" w:rsidP="003B65D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B65D5" w:rsidRPr="00B0075F" w:rsidRDefault="003B65D5" w:rsidP="003B65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3B65D5" w:rsidRPr="00B0075F" w:rsidRDefault="003B65D5" w:rsidP="003B65D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B65D5" w:rsidRDefault="003B65D5" w:rsidP="003B65D5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575566" w:rsidRDefault="00575566" w:rsidP="003B65D5">
      <w:pPr>
        <w:ind w:right="-2"/>
        <w:jc w:val="both"/>
        <w:rPr>
          <w:sz w:val="24"/>
          <w:szCs w:val="24"/>
        </w:rPr>
      </w:pPr>
    </w:p>
    <w:p w:rsidR="00575566" w:rsidRDefault="00575566" w:rsidP="003B65D5">
      <w:pPr>
        <w:ind w:right="-2"/>
        <w:jc w:val="both"/>
        <w:rPr>
          <w:sz w:val="24"/>
          <w:szCs w:val="24"/>
        </w:rPr>
      </w:pPr>
    </w:p>
    <w:p w:rsidR="00575566" w:rsidRDefault="00575566" w:rsidP="003B65D5">
      <w:pPr>
        <w:ind w:right="-2"/>
        <w:jc w:val="both"/>
        <w:rPr>
          <w:sz w:val="24"/>
          <w:szCs w:val="24"/>
        </w:rPr>
      </w:pPr>
    </w:p>
    <w:p w:rsidR="00575566" w:rsidRDefault="00575566" w:rsidP="003B65D5">
      <w:pPr>
        <w:ind w:right="-2"/>
        <w:jc w:val="both"/>
        <w:rPr>
          <w:sz w:val="24"/>
          <w:szCs w:val="24"/>
        </w:rPr>
      </w:pPr>
    </w:p>
    <w:p w:rsidR="00575566" w:rsidRDefault="00575566" w:rsidP="005755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575566" w:rsidRDefault="00575566" w:rsidP="005755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575566" w:rsidRDefault="00575566" w:rsidP="0057556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575566" w:rsidRPr="00267C52" w:rsidRDefault="00575566" w:rsidP="00575566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575566" w:rsidRPr="00267C52" w:rsidRDefault="00575566" w:rsidP="00575566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575566" w:rsidRDefault="00575566" w:rsidP="00575566">
      <w:pPr>
        <w:jc w:val="center"/>
        <w:rPr>
          <w:b/>
          <w:u w:val="single"/>
        </w:rPr>
      </w:pPr>
    </w:p>
    <w:p w:rsidR="00575566" w:rsidRPr="009C3D2C" w:rsidRDefault="00575566" w:rsidP="00575566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r w:rsidRPr="009C3D2C">
        <w:rPr>
          <w:b/>
          <w:sz w:val="24"/>
          <w:szCs w:val="24"/>
          <w:u w:val="single"/>
        </w:rPr>
        <w:t xml:space="preserve">ул. </w:t>
      </w:r>
      <w:proofErr w:type="spellStart"/>
      <w:r w:rsidRPr="009C3D2C">
        <w:rPr>
          <w:b/>
          <w:sz w:val="24"/>
          <w:szCs w:val="24"/>
          <w:u w:val="single"/>
        </w:rPr>
        <w:t>Ак</w:t>
      </w:r>
      <w:proofErr w:type="spellEnd"/>
      <w:r w:rsidRPr="009C3D2C">
        <w:rPr>
          <w:b/>
          <w:sz w:val="24"/>
          <w:szCs w:val="24"/>
          <w:u w:val="single"/>
        </w:rPr>
        <w:t>. Павлова, д.3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575566" w:rsidRPr="00D81FA8" w:rsidRDefault="00575566" w:rsidP="00575566">
      <w:pPr>
        <w:jc w:val="center"/>
        <w:rPr>
          <w:b/>
          <w:szCs w:val="24"/>
          <w:u w:val="single"/>
        </w:rPr>
      </w:pPr>
    </w:p>
    <w:p w:rsidR="00575566" w:rsidRPr="004B1165" w:rsidRDefault="00575566" w:rsidP="0057556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575566" w:rsidRPr="004B1165" w:rsidRDefault="00575566" w:rsidP="005755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575566" w:rsidRDefault="00575566" w:rsidP="0057556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75566" w:rsidRDefault="00575566" w:rsidP="00575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75566" w:rsidRDefault="00575566" w:rsidP="00575566">
      <w:pPr>
        <w:jc w:val="both"/>
        <w:rPr>
          <w:sz w:val="24"/>
          <w:szCs w:val="24"/>
        </w:rPr>
      </w:pPr>
    </w:p>
    <w:p w:rsidR="00575566" w:rsidRDefault="00575566" w:rsidP="00575566">
      <w:pPr>
        <w:jc w:val="both"/>
        <w:rPr>
          <w:sz w:val="24"/>
          <w:szCs w:val="24"/>
        </w:rPr>
      </w:pPr>
    </w:p>
    <w:p w:rsidR="00575566" w:rsidRDefault="00575566" w:rsidP="00575566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575566" w:rsidRDefault="00575566" w:rsidP="00575566">
      <w:pPr>
        <w:jc w:val="both"/>
        <w:rPr>
          <w:sz w:val="24"/>
          <w:szCs w:val="24"/>
        </w:rPr>
      </w:pPr>
    </w:p>
    <w:p w:rsidR="00575566" w:rsidRDefault="00575566" w:rsidP="00575566">
      <w:pPr>
        <w:jc w:val="both"/>
        <w:rPr>
          <w:sz w:val="24"/>
          <w:szCs w:val="24"/>
        </w:rPr>
      </w:pPr>
    </w:p>
    <w:p w:rsidR="00575566" w:rsidRPr="000A66DE" w:rsidRDefault="00575566" w:rsidP="00575566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575566" w:rsidRDefault="00575566" w:rsidP="00575566">
      <w:pPr>
        <w:jc w:val="both"/>
      </w:pPr>
      <w:r w:rsidRPr="000A66DE">
        <w:t>572553</w:t>
      </w:r>
    </w:p>
    <w:p w:rsidR="00575566" w:rsidRDefault="00575566" w:rsidP="00575566">
      <w:pPr>
        <w:jc w:val="both"/>
        <w:rPr>
          <w:sz w:val="24"/>
          <w:szCs w:val="24"/>
        </w:rPr>
      </w:pPr>
    </w:p>
    <w:p w:rsidR="00575566" w:rsidRDefault="00575566" w:rsidP="003B65D5">
      <w:pPr>
        <w:ind w:right="-2"/>
        <w:jc w:val="both"/>
      </w:pPr>
    </w:p>
    <w:p w:rsidR="003B65D5" w:rsidRDefault="003B65D5" w:rsidP="003B65D5"/>
    <w:p w:rsidR="003B65D5" w:rsidRDefault="003B65D5" w:rsidP="003B65D5"/>
    <w:p w:rsidR="003B65D5" w:rsidRDefault="003B65D5" w:rsidP="003B65D5"/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5D5"/>
    <w:rsid w:val="003B65D5"/>
    <w:rsid w:val="0045546C"/>
    <w:rsid w:val="004865EC"/>
    <w:rsid w:val="00575566"/>
    <w:rsid w:val="0094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B65D5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3B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B6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575566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75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2021-02-03T11:09:00Z</dcterms:created>
  <dcterms:modified xsi:type="dcterms:W3CDTF">2021-02-04T04:55:00Z</dcterms:modified>
</cp:coreProperties>
</file>