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B1" w:rsidRDefault="000019B1" w:rsidP="00337DFA">
      <w:pPr>
        <w:tabs>
          <w:tab w:val="center" w:pos="4819"/>
          <w:tab w:val="left" w:pos="7994"/>
        </w:tabs>
        <w:jc w:val="center"/>
        <w:rPr>
          <w:b/>
        </w:rPr>
      </w:pPr>
    </w:p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ЗАКЛЮЧЕНИЕ</w:t>
      </w:r>
    </w:p>
    <w:p w:rsidR="009B1B9A" w:rsidRPr="003A0DEA" w:rsidRDefault="009B1B9A" w:rsidP="003A0DEA">
      <w:pPr>
        <w:tabs>
          <w:tab w:val="center" w:pos="4819"/>
          <w:tab w:val="left" w:pos="7994"/>
        </w:tabs>
        <w:jc w:val="center"/>
        <w:rPr>
          <w:rStyle w:val="a4"/>
          <w:rFonts w:ascii="Times New Roman" w:hAnsi="Times New Roman"/>
          <w:b/>
          <w:sz w:val="24"/>
          <w:szCs w:val="24"/>
          <w:lang w:val="ru-RU"/>
        </w:rPr>
      </w:pPr>
      <w:r w:rsidRPr="00337DFA">
        <w:rPr>
          <w:b/>
        </w:rPr>
        <w:t>о результатах публичных слушаний</w:t>
      </w:r>
    </w:p>
    <w:p w:rsidR="009B1B9A" w:rsidRPr="00337DFA" w:rsidRDefault="009B1B9A" w:rsidP="00337DFA">
      <w:pPr>
        <w:tabs>
          <w:tab w:val="left" w:pos="6165"/>
        </w:tabs>
        <w:suppressAutoHyphens/>
        <w:jc w:val="both"/>
      </w:pPr>
      <w:r w:rsidRPr="00337DFA">
        <w:rPr>
          <w:b/>
          <w:u w:val="single"/>
        </w:rPr>
        <w:t>Время и место проведения публичных слушаний:</w:t>
      </w:r>
      <w:r w:rsidRPr="00337DFA">
        <w:rPr>
          <w:b/>
        </w:rPr>
        <w:t xml:space="preserve"> </w:t>
      </w:r>
      <w:r w:rsidR="006752F3">
        <w:t>13.11.2020</w:t>
      </w:r>
      <w:r w:rsidR="00E46E14" w:rsidRPr="00337DFA">
        <w:t xml:space="preserve"> </w:t>
      </w:r>
      <w:r w:rsidRPr="00337DFA">
        <w:t>г.</w:t>
      </w:r>
      <w:r w:rsidR="00F67025" w:rsidRPr="00337DFA">
        <w:t>,</w:t>
      </w:r>
      <w:r w:rsidRPr="00337DFA">
        <w:t xml:space="preserve"> в 1</w:t>
      </w:r>
      <w:r w:rsidR="006752F3">
        <w:t>7</w:t>
      </w:r>
      <w:r w:rsidRPr="00337DFA">
        <w:t>-</w:t>
      </w:r>
      <w:r w:rsidR="003D6AE7" w:rsidRPr="00337DFA">
        <w:t>0</w:t>
      </w:r>
      <w:r w:rsidRPr="00337DFA">
        <w:t>0, в конференц-зале Администрации Миасского городского округа по адресу: г. Миасс,</w:t>
      </w:r>
      <w:r w:rsidRPr="00337DFA">
        <w:rPr>
          <w:rStyle w:val="a4"/>
          <w:rFonts w:ascii="Times New Roman" w:hAnsi="Times New Roman"/>
          <w:color w:val="000000"/>
          <w:sz w:val="24"/>
          <w:szCs w:val="24"/>
          <w:lang w:val="ru-RU"/>
        </w:rPr>
        <w:t xml:space="preserve"> пр. Автозаводцев, 55</w:t>
      </w:r>
      <w:r w:rsidRPr="00337DFA">
        <w:t xml:space="preserve">.   </w:t>
      </w:r>
      <w:r w:rsidRPr="00337DFA">
        <w:rPr>
          <w:b/>
        </w:rPr>
        <w:t xml:space="preserve">                                     </w:t>
      </w:r>
    </w:p>
    <w:p w:rsidR="009B1B9A" w:rsidRPr="00935367" w:rsidRDefault="009B1B9A" w:rsidP="006752F3">
      <w:pPr>
        <w:jc w:val="both"/>
      </w:pPr>
      <w:r w:rsidRPr="00337DFA">
        <w:rPr>
          <w:b/>
          <w:u w:val="single"/>
        </w:rPr>
        <w:t>Оповещение о проведении слушаний:</w:t>
      </w:r>
      <w:r w:rsidRPr="00337DFA">
        <w:t xml:space="preserve"> </w:t>
      </w:r>
      <w:r w:rsidR="00F67025" w:rsidRPr="00337DFA">
        <w:t>Решение Собрания депутатов Миасского городского округа от 2</w:t>
      </w:r>
      <w:r w:rsidR="006752F3">
        <w:t>3.10.2020</w:t>
      </w:r>
      <w:r w:rsidR="00E46E14" w:rsidRPr="00337DFA">
        <w:t xml:space="preserve"> </w:t>
      </w:r>
      <w:r w:rsidR="00F67025" w:rsidRPr="00337DFA">
        <w:t>г.  №</w:t>
      </w:r>
      <w:r w:rsidR="006752F3">
        <w:t>3</w:t>
      </w:r>
      <w:r w:rsidRPr="00337DFA">
        <w:t xml:space="preserve"> «О </w:t>
      </w:r>
      <w:r w:rsidR="00F67025" w:rsidRPr="00337DFA">
        <w:t xml:space="preserve">назначении </w:t>
      </w:r>
      <w:r w:rsidRPr="00337DFA">
        <w:t>публичных слушаний</w:t>
      </w:r>
      <w:r w:rsidR="00F67025" w:rsidRPr="00337DFA">
        <w:t xml:space="preserve"> по вопросу «Об исполнении бюджета Миасского городского округа за 201</w:t>
      </w:r>
      <w:r w:rsidR="006752F3">
        <w:t>9</w:t>
      </w:r>
      <w:r w:rsidR="00F67025" w:rsidRPr="00337DFA">
        <w:t xml:space="preserve"> год</w:t>
      </w:r>
      <w:r w:rsidRPr="00337DFA">
        <w:t xml:space="preserve">» было опубликовано </w:t>
      </w:r>
      <w:r w:rsidR="00935367">
        <w:t xml:space="preserve">28.10.2020 года </w:t>
      </w:r>
      <w:r w:rsidRPr="00337DFA">
        <w:t xml:space="preserve">в установленном порядке -  размещено в сети Интернет на официальном сайте </w:t>
      </w:r>
      <w:r w:rsidR="00F67025" w:rsidRPr="00337DFA">
        <w:t>Собрания депутатов</w:t>
      </w:r>
      <w:r w:rsidRPr="00337DFA">
        <w:t xml:space="preserve"> М</w:t>
      </w:r>
      <w:r w:rsidR="003D6AE7" w:rsidRPr="00337DFA">
        <w:t>иасского городского округа</w:t>
      </w:r>
      <w:r w:rsidRPr="00337DFA">
        <w:t xml:space="preserve"> и </w:t>
      </w:r>
      <w:r w:rsidR="005A3474">
        <w:t>в издании «Миасский рабочий»</w:t>
      </w:r>
      <w:r w:rsidRPr="00337DFA">
        <w:t xml:space="preserve">. Вместе с указанным </w:t>
      </w:r>
      <w:r w:rsidR="00F67025" w:rsidRPr="00337DFA">
        <w:t xml:space="preserve">Решением </w:t>
      </w:r>
      <w:r w:rsidRPr="00337DFA">
        <w:t>был размещен подлежащий рассмотрению на слушаниях проект решения Собрания депутатов М</w:t>
      </w:r>
      <w:r w:rsidR="00E46E14" w:rsidRPr="00337DFA">
        <w:t>иасского городского округа</w:t>
      </w:r>
      <w:r w:rsidR="00AE1D22">
        <w:t>.</w:t>
      </w:r>
      <w:r w:rsidR="006752F3" w:rsidRPr="00D25E61">
        <w:t xml:space="preserve"> </w:t>
      </w:r>
      <w:r w:rsidR="00AE1D22">
        <w:t xml:space="preserve">06.04.2020 года была размещена </w:t>
      </w:r>
      <w:r w:rsidR="006752F3" w:rsidRPr="00D25E61">
        <w:t xml:space="preserve">информационная брошюра «Бюджет для граждан». </w:t>
      </w:r>
      <w:r w:rsidR="0047292D">
        <w:t xml:space="preserve">Проект рекомендаций </w:t>
      </w:r>
      <w:r w:rsidR="00935367">
        <w:t xml:space="preserve">публичных слушаний по проекту решения Собрания депутатов Миасского городского округа «Об </w:t>
      </w:r>
      <w:proofErr w:type="gramStart"/>
      <w:r w:rsidR="00935367">
        <w:t>исполнении</w:t>
      </w:r>
      <w:proofErr w:type="gramEnd"/>
      <w:r w:rsidR="00935367">
        <w:t xml:space="preserve"> бюджета Миасского городского округа за 2019 год» был размещен на сайте </w:t>
      </w:r>
      <w:r w:rsidR="00D9520D">
        <w:t>28.10</w:t>
      </w:r>
      <w:r w:rsidR="00935367">
        <w:t>.2020 года.</w:t>
      </w:r>
    </w:p>
    <w:p w:rsidR="006752F3" w:rsidRPr="00D25E61" w:rsidRDefault="009B1B9A" w:rsidP="006752F3">
      <w:pPr>
        <w:tabs>
          <w:tab w:val="left" w:pos="6165"/>
        </w:tabs>
        <w:suppressAutoHyphens/>
        <w:jc w:val="both"/>
      </w:pPr>
      <w:r w:rsidRPr="00337DFA">
        <w:rPr>
          <w:b/>
          <w:u w:val="single"/>
        </w:rPr>
        <w:t>Комиссия по подготовке и проведению публичных слушаний (далее – Комиссия):</w:t>
      </w:r>
      <w:r w:rsidRPr="00337DFA">
        <w:t xml:space="preserve"> </w:t>
      </w:r>
      <w:r w:rsidR="006752F3" w:rsidRPr="00D25E61">
        <w:t xml:space="preserve">Персональный состав комиссии </w:t>
      </w:r>
      <w:r w:rsidR="006752F3">
        <w:t>определе</w:t>
      </w:r>
      <w:r w:rsidR="006752F3" w:rsidRPr="00D25E61">
        <w:t>н Решением Собрания депутатов Миасского городского округа от 2</w:t>
      </w:r>
      <w:r w:rsidR="006752F3">
        <w:t>3.10.2020</w:t>
      </w:r>
      <w:r w:rsidR="006752F3" w:rsidRPr="00D25E61">
        <w:t xml:space="preserve"> г.  №</w:t>
      </w:r>
      <w:r w:rsidR="006752F3">
        <w:t>3</w:t>
      </w:r>
      <w:r w:rsidR="006752F3" w:rsidRPr="00D25E61">
        <w:t xml:space="preserve">, на организационном заседании комиссии </w:t>
      </w:r>
      <w:r w:rsidR="006752F3">
        <w:t>23.10</w:t>
      </w:r>
      <w:r w:rsidR="006752F3" w:rsidRPr="00D25E61">
        <w:t>.</w:t>
      </w:r>
      <w:r w:rsidR="006752F3">
        <w:t>2020</w:t>
      </w:r>
      <w:r w:rsidR="006752F3" w:rsidRPr="00D25E61">
        <w:t xml:space="preserve"> г. Председателем комиссии и председательствующим на публичных слушаниях</w:t>
      </w:r>
      <w:r w:rsidR="006752F3">
        <w:t xml:space="preserve"> назначен</w:t>
      </w:r>
      <w:r w:rsidR="006752F3" w:rsidRPr="00D25E61">
        <w:t xml:space="preserve"> </w:t>
      </w:r>
      <w:r w:rsidR="006752F3">
        <w:t>Проскурин Д.Г</w:t>
      </w:r>
      <w:r w:rsidR="006752F3" w:rsidRPr="00D25E61">
        <w:t>., секретарем</w:t>
      </w:r>
      <w:r w:rsidR="006752F3">
        <w:t xml:space="preserve"> –</w:t>
      </w:r>
      <w:r w:rsidR="006752F3" w:rsidRPr="00D25E61">
        <w:t xml:space="preserve"> </w:t>
      </w:r>
      <w:proofErr w:type="spellStart"/>
      <w:r w:rsidR="006752F3">
        <w:t>Букреева</w:t>
      </w:r>
      <w:proofErr w:type="spellEnd"/>
      <w:r w:rsidR="006752F3">
        <w:t xml:space="preserve"> Ю.В.</w:t>
      </w:r>
    </w:p>
    <w:p w:rsidR="009B1B9A" w:rsidRPr="00337DFA" w:rsidRDefault="009B1B9A" w:rsidP="00337DFA">
      <w:pPr>
        <w:tabs>
          <w:tab w:val="left" w:pos="6165"/>
        </w:tabs>
        <w:suppressAutoHyphens/>
        <w:jc w:val="both"/>
      </w:pPr>
      <w:r w:rsidRPr="00337DFA">
        <w:rPr>
          <w:b/>
          <w:u w:val="single"/>
        </w:rPr>
        <w:t>Порядок подачи предложений и замечаний по рассматриваемому на слушаниях вопросу:</w:t>
      </w:r>
      <w:r w:rsidR="00F67025" w:rsidRPr="00337DFA">
        <w:t xml:space="preserve"> </w:t>
      </w:r>
      <w:r w:rsidR="007204FD" w:rsidRPr="00D25E61">
        <w:t>приведен в Решении Собрания депутатов Миасского городского округа от 2</w:t>
      </w:r>
      <w:r w:rsidR="007204FD">
        <w:t>3.10.2020</w:t>
      </w:r>
      <w:r w:rsidR="007204FD" w:rsidRPr="00D25E61">
        <w:t xml:space="preserve"> г.  №</w:t>
      </w:r>
      <w:r w:rsidR="007204FD">
        <w:t>3</w:t>
      </w:r>
      <w:r w:rsidR="007204FD" w:rsidRPr="00D25E61">
        <w:t>.</w:t>
      </w:r>
    </w:p>
    <w:p w:rsidR="009B1B9A" w:rsidRPr="00337DFA" w:rsidRDefault="009B1B9A" w:rsidP="00337DFA">
      <w:pPr>
        <w:tabs>
          <w:tab w:val="left" w:pos="6165"/>
        </w:tabs>
        <w:suppressAutoHyphens/>
        <w:jc w:val="both"/>
      </w:pPr>
      <w:r w:rsidRPr="00337DFA">
        <w:rPr>
          <w:b/>
          <w:u w:val="single"/>
        </w:rPr>
        <w:t>Сведения о протоколе публичных слушаний:</w:t>
      </w:r>
      <w:r w:rsidRPr="00337DFA">
        <w:t xml:space="preserve"> На публичных слушаниях велся протокол публичных слушаний, который оформлен и подписан председателем и секретарем слушаний.</w:t>
      </w:r>
    </w:p>
    <w:p w:rsidR="00070CFA" w:rsidRDefault="009B1B9A" w:rsidP="00070CFA">
      <w:pPr>
        <w:tabs>
          <w:tab w:val="left" w:pos="6165"/>
        </w:tabs>
        <w:jc w:val="both"/>
        <w:rPr>
          <w:b/>
        </w:rPr>
      </w:pPr>
      <w:r w:rsidRPr="00070CFA">
        <w:rPr>
          <w:b/>
        </w:rPr>
        <w:t xml:space="preserve">Обобщенная информация о поступивших предложениях, замечаниях, </w:t>
      </w:r>
      <w:r w:rsidR="00070CFA" w:rsidRPr="00070CFA">
        <w:rPr>
          <w:b/>
        </w:rPr>
        <w:t>рекомендациях</w:t>
      </w:r>
      <w:r w:rsidR="004B62F2">
        <w:rPr>
          <w:b/>
        </w:rPr>
        <w:t xml:space="preserve"> в письменной форме</w:t>
      </w:r>
      <w:r w:rsidR="00070CFA">
        <w:rPr>
          <w:b/>
        </w:rPr>
        <w:t>:</w:t>
      </w:r>
      <w:r w:rsidR="00070CFA" w:rsidRPr="00070CFA">
        <w:rPr>
          <w:b/>
        </w:rPr>
        <w:t xml:space="preserve"> </w:t>
      </w:r>
    </w:p>
    <w:p w:rsidR="000E6625" w:rsidRDefault="00FE7146" w:rsidP="00070CFA">
      <w:pPr>
        <w:tabs>
          <w:tab w:val="left" w:pos="6165"/>
        </w:tabs>
        <w:jc w:val="both"/>
      </w:pPr>
      <w:r>
        <w:t xml:space="preserve">     </w:t>
      </w:r>
      <w:r w:rsidR="000E6625" w:rsidRPr="000E6625">
        <w:t>Каждому участнику публичных слушаний</w:t>
      </w:r>
      <w:r w:rsidR="000E6625">
        <w:t xml:space="preserve"> выданы раздаточные материалы</w:t>
      </w:r>
      <w:r w:rsidR="001D78C9">
        <w:t>,</w:t>
      </w:r>
      <w:r w:rsidR="000E6625">
        <w:t xml:space="preserve"> содержащие краткую </w:t>
      </w:r>
      <w:r>
        <w:t>информацию об</w:t>
      </w:r>
      <w:r w:rsidR="000E6625">
        <w:t xml:space="preserve"> исполнени</w:t>
      </w:r>
      <w:r>
        <w:t>и</w:t>
      </w:r>
      <w:r w:rsidR="000E6625">
        <w:t xml:space="preserve"> бюджета</w:t>
      </w:r>
      <w:r w:rsidR="001D78C9">
        <w:t xml:space="preserve"> Округа за 2019 год и </w:t>
      </w:r>
      <w:r>
        <w:t xml:space="preserve"> проект рекомендаций</w:t>
      </w:r>
      <w:r w:rsidR="000E6625">
        <w:t xml:space="preserve"> по </w:t>
      </w:r>
      <w:r w:rsidR="00F433D8">
        <w:t>представленному</w:t>
      </w:r>
      <w:r w:rsidR="000E6625">
        <w:t xml:space="preserve"> проекту решения. </w:t>
      </w:r>
      <w:r w:rsidR="00627849">
        <w:t xml:space="preserve">Замечаний </w:t>
      </w:r>
      <w:r w:rsidR="0047292D">
        <w:t>от участников публичных слушаний по проекту рекомендаций не поступило.</w:t>
      </w:r>
    </w:p>
    <w:p w:rsidR="000E6625" w:rsidRDefault="00A44B15" w:rsidP="00070CFA">
      <w:pPr>
        <w:tabs>
          <w:tab w:val="left" w:pos="6165"/>
        </w:tabs>
        <w:jc w:val="both"/>
      </w:pPr>
      <w:r>
        <w:t xml:space="preserve">    В выступлении докладчика Нечаевой Г. В.  по вопросу исполнения бюджета Миасского городского округа отмечено, что исполнение бюджета Округа за 2019 год можно охарактеризовать как обеспечивающее выполнение всех принятых расходных обязательств в соответствии с требованиями бюджетного </w:t>
      </w:r>
      <w:r w:rsidR="001414E0">
        <w:t>кодекса</w:t>
      </w:r>
      <w:r w:rsidR="007817AD">
        <w:t>.</w:t>
      </w:r>
    </w:p>
    <w:p w:rsidR="007817AD" w:rsidRPr="000E6625" w:rsidRDefault="007817AD" w:rsidP="00070CFA">
      <w:pPr>
        <w:tabs>
          <w:tab w:val="left" w:pos="6165"/>
        </w:tabs>
        <w:jc w:val="both"/>
      </w:pPr>
    </w:p>
    <w:tbl>
      <w:tblPr>
        <w:tblStyle w:val="ad"/>
        <w:tblW w:w="0" w:type="auto"/>
        <w:tblLook w:val="04A0"/>
      </w:tblPr>
      <w:tblGrid>
        <w:gridCol w:w="675"/>
        <w:gridCol w:w="2268"/>
        <w:gridCol w:w="3544"/>
        <w:gridCol w:w="3084"/>
      </w:tblGrid>
      <w:tr w:rsidR="00070CFA" w:rsidTr="00AB7FBA">
        <w:tc>
          <w:tcPr>
            <w:tcW w:w="675" w:type="dxa"/>
            <w:vAlign w:val="center"/>
          </w:tcPr>
          <w:p w:rsidR="00070CFA" w:rsidRDefault="00070CFA" w:rsidP="00AB7FBA">
            <w:pPr>
              <w:tabs>
                <w:tab w:val="left" w:pos="6165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Align w:val="center"/>
          </w:tcPr>
          <w:p w:rsidR="00070CFA" w:rsidRDefault="00070CFA" w:rsidP="00AB7FBA">
            <w:pPr>
              <w:tabs>
                <w:tab w:val="left" w:pos="6165"/>
              </w:tabs>
              <w:jc w:val="center"/>
            </w:pPr>
            <w:r>
              <w:t>Участник публичных слушаний</w:t>
            </w:r>
          </w:p>
        </w:tc>
        <w:tc>
          <w:tcPr>
            <w:tcW w:w="3544" w:type="dxa"/>
            <w:vAlign w:val="center"/>
          </w:tcPr>
          <w:p w:rsidR="00070CFA" w:rsidRDefault="00070CFA" w:rsidP="00AB7FBA">
            <w:pPr>
              <w:tabs>
                <w:tab w:val="left" w:pos="6165"/>
              </w:tabs>
              <w:jc w:val="center"/>
            </w:pPr>
            <w:r>
              <w:t>Предложение</w:t>
            </w:r>
          </w:p>
        </w:tc>
        <w:tc>
          <w:tcPr>
            <w:tcW w:w="3084" w:type="dxa"/>
            <w:vAlign w:val="center"/>
          </w:tcPr>
          <w:p w:rsidR="00070CFA" w:rsidRDefault="00706A0B" w:rsidP="00AB7FBA">
            <w:pPr>
              <w:tabs>
                <w:tab w:val="left" w:pos="6165"/>
              </w:tabs>
              <w:jc w:val="center"/>
            </w:pPr>
            <w:r>
              <w:t>Заключение</w:t>
            </w:r>
            <w:r w:rsidR="00070CFA">
              <w:t xml:space="preserve"> комиссии</w:t>
            </w:r>
          </w:p>
        </w:tc>
      </w:tr>
      <w:tr w:rsidR="007D06A8" w:rsidTr="00706A0B">
        <w:tc>
          <w:tcPr>
            <w:tcW w:w="675" w:type="dxa"/>
            <w:vMerge w:val="restart"/>
          </w:tcPr>
          <w:p w:rsidR="007D06A8" w:rsidRDefault="007D06A8" w:rsidP="00070CFA">
            <w:pPr>
              <w:tabs>
                <w:tab w:val="left" w:pos="6165"/>
              </w:tabs>
              <w:jc w:val="both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7D06A8" w:rsidRDefault="007D06A8" w:rsidP="00070CFA">
            <w:pPr>
              <w:tabs>
                <w:tab w:val="left" w:pos="6165"/>
              </w:tabs>
              <w:jc w:val="both"/>
            </w:pPr>
            <w:proofErr w:type="spellStart"/>
            <w:r>
              <w:t>Комкова</w:t>
            </w:r>
            <w:proofErr w:type="spellEnd"/>
            <w:r>
              <w:t xml:space="preserve"> В.В. </w:t>
            </w:r>
          </w:p>
        </w:tc>
        <w:tc>
          <w:tcPr>
            <w:tcW w:w="3544" w:type="dxa"/>
          </w:tcPr>
          <w:p w:rsidR="007D06A8" w:rsidRDefault="007D06A8" w:rsidP="009E50F5">
            <w:pPr>
              <w:tabs>
                <w:tab w:val="left" w:pos="6165"/>
              </w:tabs>
              <w:jc w:val="both"/>
            </w:pPr>
            <w:r>
              <w:t>1. В связи с неисполнением бюджета за 2019 год в размере более 43,0 млн</w:t>
            </w:r>
            <w:proofErr w:type="gramStart"/>
            <w:r>
              <w:t>.р</w:t>
            </w:r>
            <w:proofErr w:type="gramEnd"/>
            <w:r>
              <w:t xml:space="preserve">ублей </w:t>
            </w:r>
            <w:r w:rsidRPr="009E50F5">
              <w:t>проект решения «Об исполнении бюджета Миасского городского округа за 2019 год»</w:t>
            </w:r>
            <w:r>
              <w:t xml:space="preserve"> не принимать.</w:t>
            </w:r>
          </w:p>
        </w:tc>
        <w:tc>
          <w:tcPr>
            <w:tcW w:w="3084" w:type="dxa"/>
            <w:vMerge w:val="restart"/>
          </w:tcPr>
          <w:p w:rsidR="007D06A8" w:rsidRDefault="007D06A8" w:rsidP="00AB7FBA">
            <w:pPr>
              <w:tabs>
                <w:tab w:val="left" w:pos="6165"/>
              </w:tabs>
              <w:jc w:val="both"/>
            </w:pPr>
            <w:r>
              <w:t xml:space="preserve">Не учтена озвученная докладчиком информация о причинах не полного </w:t>
            </w:r>
            <w:bookmarkStart w:id="0" w:name="_GoBack"/>
            <w:bookmarkEnd w:id="0"/>
            <w:r>
              <w:t>освоения ассигнований:</w:t>
            </w:r>
          </w:p>
          <w:p w:rsidR="007D06A8" w:rsidRDefault="007D06A8" w:rsidP="00AB7FBA">
            <w:pPr>
              <w:tabs>
                <w:tab w:val="left" w:pos="6165"/>
              </w:tabs>
              <w:jc w:val="both"/>
            </w:pPr>
            <w:r>
              <w:t>«Остаток неисполненных ассигнований и   причины  их образования следующие:</w:t>
            </w:r>
          </w:p>
          <w:p w:rsidR="007D06A8" w:rsidRDefault="007D06A8" w:rsidP="00AB7FBA">
            <w:pPr>
              <w:tabs>
                <w:tab w:val="left" w:pos="6165"/>
              </w:tabs>
              <w:jc w:val="both"/>
            </w:pPr>
            <w:r>
              <w:t>- остатки на резервных фондах    - 0,8 млн. рублей</w:t>
            </w:r>
          </w:p>
          <w:p w:rsidR="007D06A8" w:rsidRDefault="007D06A8" w:rsidP="00AB7FBA">
            <w:pPr>
              <w:tabs>
                <w:tab w:val="left" w:pos="6165"/>
              </w:tabs>
              <w:jc w:val="both"/>
            </w:pPr>
            <w:r>
              <w:t>- экономия от проведения конкурсных процедур  - 8,0 млн. рублей</w:t>
            </w:r>
          </w:p>
          <w:p w:rsidR="007D06A8" w:rsidRDefault="007D06A8" w:rsidP="00AB7FBA">
            <w:pPr>
              <w:tabs>
                <w:tab w:val="left" w:pos="6165"/>
              </w:tabs>
              <w:jc w:val="both"/>
            </w:pPr>
            <w:r>
              <w:t>- нарушение условий контрактов подрядчиком (не выполнение работ)  - 20,8 млн. рублей</w:t>
            </w:r>
          </w:p>
          <w:p w:rsidR="007D06A8" w:rsidRDefault="007D06A8" w:rsidP="00AB7FBA">
            <w:pPr>
              <w:tabs>
                <w:tab w:val="left" w:pos="6165"/>
              </w:tabs>
              <w:jc w:val="both"/>
            </w:pPr>
            <w:r>
              <w:t xml:space="preserve">- позднее представление документов к оплате  поставщиками услуг – 8,2 </w:t>
            </w:r>
            <w:r>
              <w:lastRenderedPageBreak/>
              <w:t>млн. рублей</w:t>
            </w:r>
          </w:p>
          <w:p w:rsidR="007D06A8" w:rsidRDefault="007D06A8" w:rsidP="00AB7FBA">
            <w:pPr>
              <w:tabs>
                <w:tab w:val="left" w:pos="6165"/>
              </w:tabs>
              <w:jc w:val="both"/>
            </w:pPr>
            <w:r>
              <w:t>- поступление средств из областного бюджета в виде субсидии  в объеме фактической потребности – 9,8 млн. рублей</w:t>
            </w:r>
          </w:p>
          <w:p w:rsidR="007D06A8" w:rsidRDefault="007D06A8" w:rsidP="00AB7FBA">
            <w:pPr>
              <w:tabs>
                <w:tab w:val="left" w:pos="6165"/>
              </w:tabs>
              <w:jc w:val="both"/>
            </w:pPr>
            <w:r>
              <w:t>-  снятие ассигнований по переданным расходам  после принятия решения об уточнении бюджета – 1,9 млн. рублей»</w:t>
            </w:r>
          </w:p>
        </w:tc>
      </w:tr>
      <w:tr w:rsidR="007D06A8" w:rsidTr="00706A0B">
        <w:tc>
          <w:tcPr>
            <w:tcW w:w="675" w:type="dxa"/>
            <w:vMerge/>
          </w:tcPr>
          <w:p w:rsidR="007D06A8" w:rsidRDefault="007D06A8" w:rsidP="00070CFA">
            <w:pPr>
              <w:tabs>
                <w:tab w:val="left" w:pos="6165"/>
              </w:tabs>
              <w:jc w:val="both"/>
            </w:pPr>
          </w:p>
        </w:tc>
        <w:tc>
          <w:tcPr>
            <w:tcW w:w="2268" w:type="dxa"/>
            <w:vMerge/>
          </w:tcPr>
          <w:p w:rsidR="007D06A8" w:rsidRDefault="007D06A8" w:rsidP="00070CFA">
            <w:pPr>
              <w:tabs>
                <w:tab w:val="left" w:pos="6165"/>
              </w:tabs>
              <w:jc w:val="both"/>
            </w:pPr>
          </w:p>
        </w:tc>
        <w:tc>
          <w:tcPr>
            <w:tcW w:w="3544" w:type="dxa"/>
          </w:tcPr>
          <w:p w:rsidR="007D06A8" w:rsidRDefault="007D06A8" w:rsidP="005A3474">
            <w:pPr>
              <w:tabs>
                <w:tab w:val="left" w:pos="6165"/>
              </w:tabs>
              <w:jc w:val="both"/>
            </w:pPr>
            <w:r>
              <w:t xml:space="preserve">2. За бездействие – освободить от занимаемой должности Главу МГО </w:t>
            </w:r>
            <w:proofErr w:type="gramStart"/>
            <w:r>
              <w:t>Тонких</w:t>
            </w:r>
            <w:proofErr w:type="gramEnd"/>
            <w:r>
              <w:t xml:space="preserve"> Г.М.</w:t>
            </w:r>
          </w:p>
        </w:tc>
        <w:tc>
          <w:tcPr>
            <w:tcW w:w="3084" w:type="dxa"/>
            <w:vMerge/>
          </w:tcPr>
          <w:p w:rsidR="007D06A8" w:rsidRDefault="007D06A8" w:rsidP="00070CFA">
            <w:pPr>
              <w:tabs>
                <w:tab w:val="left" w:pos="6165"/>
              </w:tabs>
              <w:jc w:val="both"/>
            </w:pPr>
          </w:p>
        </w:tc>
      </w:tr>
    </w:tbl>
    <w:p w:rsidR="00DB7E31" w:rsidRPr="00070CFA" w:rsidRDefault="00DB7E31" w:rsidP="00337DFA">
      <w:pPr>
        <w:pStyle w:val="a5"/>
        <w:rPr>
          <w:b/>
        </w:rPr>
      </w:pPr>
    </w:p>
    <w:p w:rsidR="009B1B9A" w:rsidRPr="00337DFA" w:rsidRDefault="009B1B9A" w:rsidP="00337DFA">
      <w:pPr>
        <w:pStyle w:val="a5"/>
        <w:rPr>
          <w:b/>
          <w:u w:val="single"/>
        </w:rPr>
      </w:pPr>
      <w:r w:rsidRPr="00337DFA">
        <w:rPr>
          <w:b/>
          <w:u w:val="single"/>
        </w:rPr>
        <w:t>Выводы Комиссии:</w:t>
      </w:r>
    </w:p>
    <w:p w:rsidR="009B1B9A" w:rsidRPr="00337DFA" w:rsidRDefault="009B1B9A" w:rsidP="00337DFA">
      <w:pPr>
        <w:pStyle w:val="a6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DFA">
        <w:rPr>
          <w:rFonts w:ascii="Times New Roman" w:hAnsi="Times New Roman"/>
          <w:sz w:val="24"/>
          <w:szCs w:val="24"/>
        </w:rPr>
        <w:t xml:space="preserve">Публичные слушания, проведенные </w:t>
      </w:r>
      <w:r w:rsidR="00D51FE9">
        <w:rPr>
          <w:rFonts w:ascii="Times New Roman" w:hAnsi="Times New Roman"/>
          <w:sz w:val="24"/>
          <w:szCs w:val="24"/>
        </w:rPr>
        <w:t>13</w:t>
      </w:r>
      <w:r w:rsidR="00706A0B">
        <w:rPr>
          <w:rFonts w:ascii="Times New Roman" w:hAnsi="Times New Roman"/>
          <w:sz w:val="24"/>
          <w:szCs w:val="24"/>
        </w:rPr>
        <w:t>.</w:t>
      </w:r>
      <w:r w:rsidR="00D51FE9">
        <w:rPr>
          <w:rFonts w:ascii="Times New Roman" w:hAnsi="Times New Roman"/>
          <w:sz w:val="24"/>
          <w:szCs w:val="24"/>
        </w:rPr>
        <w:t>11.2020</w:t>
      </w:r>
      <w:r w:rsidR="00CC600F" w:rsidRPr="00337DFA">
        <w:rPr>
          <w:rFonts w:ascii="Times New Roman" w:hAnsi="Times New Roman"/>
          <w:sz w:val="24"/>
          <w:szCs w:val="24"/>
        </w:rPr>
        <w:t xml:space="preserve"> </w:t>
      </w:r>
      <w:r w:rsidRPr="00337DFA">
        <w:rPr>
          <w:rFonts w:ascii="Times New Roman" w:hAnsi="Times New Roman"/>
          <w:sz w:val="24"/>
          <w:szCs w:val="24"/>
        </w:rPr>
        <w:t xml:space="preserve">г. на основании </w:t>
      </w:r>
      <w:r w:rsidR="00DB7E31" w:rsidRPr="00337DFA">
        <w:rPr>
          <w:rFonts w:ascii="Times New Roman" w:hAnsi="Times New Roman"/>
          <w:sz w:val="24"/>
          <w:szCs w:val="24"/>
        </w:rPr>
        <w:t>Решения Собрания депутатов Миасского городского округа от 2</w:t>
      </w:r>
      <w:r w:rsidR="00D51FE9">
        <w:rPr>
          <w:rFonts w:ascii="Times New Roman" w:hAnsi="Times New Roman"/>
          <w:sz w:val="24"/>
          <w:szCs w:val="24"/>
        </w:rPr>
        <w:t>3.10.2020</w:t>
      </w:r>
      <w:r w:rsidR="00CC600F" w:rsidRPr="00337DFA">
        <w:rPr>
          <w:rFonts w:ascii="Times New Roman" w:hAnsi="Times New Roman"/>
          <w:sz w:val="24"/>
          <w:szCs w:val="24"/>
        </w:rPr>
        <w:t xml:space="preserve"> г. №</w:t>
      </w:r>
      <w:r w:rsidR="00D51FE9">
        <w:rPr>
          <w:rFonts w:ascii="Times New Roman" w:hAnsi="Times New Roman"/>
          <w:sz w:val="24"/>
          <w:szCs w:val="24"/>
        </w:rPr>
        <w:t>3</w:t>
      </w:r>
      <w:r w:rsidR="00780FBB" w:rsidRPr="00337DFA">
        <w:rPr>
          <w:rFonts w:ascii="Times New Roman" w:hAnsi="Times New Roman"/>
          <w:sz w:val="24"/>
          <w:szCs w:val="24"/>
        </w:rPr>
        <w:t>,</w:t>
      </w:r>
      <w:r w:rsidRPr="00337DFA">
        <w:rPr>
          <w:rFonts w:ascii="Times New Roman" w:hAnsi="Times New Roman"/>
          <w:sz w:val="24"/>
          <w:szCs w:val="24"/>
        </w:rPr>
        <w:t xml:space="preserve"> считать состоявшимися и соответствующими </w:t>
      </w:r>
      <w:r w:rsidR="00DB7E31" w:rsidRPr="00337DFA">
        <w:rPr>
          <w:rFonts w:ascii="Times New Roman" w:hAnsi="Times New Roman"/>
          <w:sz w:val="24"/>
          <w:szCs w:val="24"/>
        </w:rPr>
        <w:t>Р</w:t>
      </w:r>
      <w:r w:rsidRPr="00337DFA">
        <w:rPr>
          <w:rFonts w:ascii="Times New Roman" w:hAnsi="Times New Roman"/>
          <w:sz w:val="24"/>
          <w:szCs w:val="24"/>
        </w:rPr>
        <w:t>ешению Собрания депутатов Решение Собрания депутатов М</w:t>
      </w:r>
      <w:r w:rsidR="00DB7E31" w:rsidRPr="00337DFA">
        <w:rPr>
          <w:rFonts w:ascii="Times New Roman" w:hAnsi="Times New Roman"/>
          <w:sz w:val="24"/>
          <w:szCs w:val="24"/>
        </w:rPr>
        <w:t>иасского городского округа</w:t>
      </w:r>
      <w:r w:rsidRPr="00337DFA">
        <w:rPr>
          <w:rFonts w:ascii="Times New Roman" w:hAnsi="Times New Roman"/>
          <w:sz w:val="24"/>
          <w:szCs w:val="24"/>
        </w:rPr>
        <w:t xml:space="preserve"> от </w:t>
      </w:r>
      <w:r w:rsidRPr="00E46F64">
        <w:rPr>
          <w:rFonts w:ascii="Times New Roman" w:hAnsi="Times New Roman"/>
          <w:sz w:val="24"/>
          <w:szCs w:val="24"/>
        </w:rPr>
        <w:t>25.03.2016</w:t>
      </w:r>
      <w:r w:rsidR="008B0AB4" w:rsidRPr="00E46F64">
        <w:rPr>
          <w:rFonts w:ascii="Times New Roman" w:hAnsi="Times New Roman"/>
          <w:sz w:val="24"/>
          <w:szCs w:val="24"/>
        </w:rPr>
        <w:t xml:space="preserve"> </w:t>
      </w:r>
      <w:r w:rsidRPr="00E46F64">
        <w:rPr>
          <w:rFonts w:ascii="Times New Roman" w:hAnsi="Times New Roman"/>
          <w:sz w:val="24"/>
          <w:szCs w:val="24"/>
        </w:rPr>
        <w:t>г. №3</w:t>
      </w:r>
      <w:r w:rsidRPr="00337DFA">
        <w:rPr>
          <w:rFonts w:ascii="Times New Roman" w:hAnsi="Times New Roman"/>
          <w:sz w:val="24"/>
          <w:szCs w:val="24"/>
        </w:rPr>
        <w:t xml:space="preserve"> «Об утверждении Положения «О порядке организации и проведения публичных слушаний в Миасском городском округе</w:t>
      </w:r>
      <w:r w:rsidR="00573232" w:rsidRPr="00337DFA">
        <w:rPr>
          <w:rFonts w:ascii="Times New Roman" w:hAnsi="Times New Roman"/>
          <w:sz w:val="24"/>
          <w:szCs w:val="24"/>
        </w:rPr>
        <w:t>»</w:t>
      </w:r>
      <w:r w:rsidRPr="00337DFA">
        <w:rPr>
          <w:rFonts w:ascii="Times New Roman" w:hAnsi="Times New Roman"/>
          <w:sz w:val="24"/>
          <w:szCs w:val="24"/>
        </w:rPr>
        <w:t>.</w:t>
      </w:r>
    </w:p>
    <w:p w:rsidR="00DB7E31" w:rsidRPr="00337DFA" w:rsidRDefault="009B1B9A" w:rsidP="00337DFA">
      <w:pPr>
        <w:pStyle w:val="a6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DFA">
        <w:rPr>
          <w:rFonts w:ascii="Times New Roman" w:hAnsi="Times New Roman"/>
          <w:sz w:val="24"/>
          <w:szCs w:val="24"/>
        </w:rPr>
        <w:t xml:space="preserve">Направить </w:t>
      </w:r>
      <w:r w:rsidR="00DB7E31" w:rsidRPr="00337DFA">
        <w:rPr>
          <w:rFonts w:ascii="Times New Roman" w:hAnsi="Times New Roman"/>
          <w:sz w:val="24"/>
          <w:szCs w:val="24"/>
        </w:rPr>
        <w:t>в</w:t>
      </w:r>
      <w:r w:rsidRPr="00337DFA">
        <w:rPr>
          <w:rFonts w:ascii="Times New Roman" w:hAnsi="Times New Roman"/>
          <w:sz w:val="24"/>
          <w:szCs w:val="24"/>
        </w:rPr>
        <w:t xml:space="preserve"> Собрани</w:t>
      </w:r>
      <w:r w:rsidR="00DB7E31" w:rsidRPr="00337DFA">
        <w:rPr>
          <w:rFonts w:ascii="Times New Roman" w:hAnsi="Times New Roman"/>
          <w:sz w:val="24"/>
          <w:szCs w:val="24"/>
        </w:rPr>
        <w:t>е</w:t>
      </w:r>
      <w:r w:rsidRPr="00337DFA">
        <w:rPr>
          <w:rFonts w:ascii="Times New Roman" w:hAnsi="Times New Roman"/>
          <w:sz w:val="24"/>
          <w:szCs w:val="24"/>
        </w:rPr>
        <w:t xml:space="preserve"> депутатов</w:t>
      </w:r>
      <w:r w:rsidR="00DB7E31" w:rsidRPr="00337DFA">
        <w:rPr>
          <w:rFonts w:ascii="Times New Roman" w:hAnsi="Times New Roman"/>
          <w:sz w:val="24"/>
          <w:szCs w:val="24"/>
        </w:rPr>
        <w:t xml:space="preserve"> Миасского городского округа</w:t>
      </w:r>
      <w:r w:rsidRPr="00337DFA">
        <w:rPr>
          <w:rFonts w:ascii="Times New Roman" w:hAnsi="Times New Roman"/>
          <w:sz w:val="24"/>
          <w:szCs w:val="24"/>
        </w:rPr>
        <w:t xml:space="preserve"> настоящее заключение о результатах публичных слушаний и протокол публичны</w:t>
      </w:r>
      <w:r w:rsidR="00DB7E31" w:rsidRPr="00337DFA">
        <w:rPr>
          <w:rFonts w:ascii="Times New Roman" w:hAnsi="Times New Roman"/>
          <w:sz w:val="24"/>
          <w:szCs w:val="24"/>
        </w:rPr>
        <w:t>х слушаний для принятия решения.</w:t>
      </w:r>
    </w:p>
    <w:p w:rsidR="009B1B9A" w:rsidRDefault="009B1B9A" w:rsidP="00337DFA">
      <w:pPr>
        <w:pStyle w:val="a6"/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46F1">
        <w:rPr>
          <w:rFonts w:ascii="Times New Roman" w:hAnsi="Times New Roman"/>
          <w:sz w:val="24"/>
          <w:szCs w:val="24"/>
        </w:rPr>
        <w:t>Настоящее заключение</w:t>
      </w:r>
      <w:r w:rsidR="008B0AB4" w:rsidRPr="005F46F1">
        <w:rPr>
          <w:rFonts w:ascii="Times New Roman" w:hAnsi="Times New Roman"/>
          <w:sz w:val="24"/>
          <w:szCs w:val="24"/>
        </w:rPr>
        <w:t>, а также справочную информацию о вопросах, заданных во время проведения публичных слушаний</w:t>
      </w:r>
      <w:r w:rsidR="005F46F1" w:rsidRPr="005F46F1">
        <w:rPr>
          <w:rFonts w:ascii="Times New Roman" w:hAnsi="Times New Roman"/>
          <w:sz w:val="24"/>
          <w:szCs w:val="24"/>
        </w:rPr>
        <w:t>, и выступлениях</w:t>
      </w:r>
      <w:r w:rsidR="008B0AB4" w:rsidRPr="005F46F1">
        <w:rPr>
          <w:rFonts w:ascii="Times New Roman" w:hAnsi="Times New Roman"/>
          <w:sz w:val="24"/>
          <w:szCs w:val="24"/>
        </w:rPr>
        <w:t xml:space="preserve"> (согласно приложению к настоящему заключению),</w:t>
      </w:r>
      <w:r w:rsidR="008B0AB4">
        <w:rPr>
          <w:rFonts w:ascii="Times New Roman" w:hAnsi="Times New Roman"/>
          <w:sz w:val="24"/>
          <w:szCs w:val="24"/>
        </w:rPr>
        <w:t xml:space="preserve"> </w:t>
      </w:r>
      <w:r w:rsidRPr="008B0AB4">
        <w:rPr>
          <w:rFonts w:ascii="Times New Roman" w:hAnsi="Times New Roman"/>
          <w:sz w:val="24"/>
          <w:szCs w:val="24"/>
        </w:rPr>
        <w:t xml:space="preserve"> опубликовать в порядке, установленном для официального опубликования муниципальных правовых актов, иной официальной информации и разместить на официальном сайте </w:t>
      </w:r>
      <w:r w:rsidR="00DB7E31" w:rsidRPr="008B0AB4">
        <w:rPr>
          <w:rFonts w:ascii="Times New Roman" w:hAnsi="Times New Roman"/>
          <w:sz w:val="24"/>
          <w:szCs w:val="24"/>
        </w:rPr>
        <w:t xml:space="preserve">Собрания депутатов Миасского городского округа </w:t>
      </w:r>
      <w:hyperlink r:id="rId8" w:history="1">
        <w:r w:rsidR="00573232" w:rsidRPr="008B0AB4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573232" w:rsidRPr="008B0AB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573232" w:rsidRPr="008B0AB4">
          <w:rPr>
            <w:rStyle w:val="ac"/>
            <w:rFonts w:ascii="Times New Roman" w:hAnsi="Times New Roman"/>
            <w:sz w:val="24"/>
            <w:szCs w:val="24"/>
            <w:lang w:val="en-US"/>
          </w:rPr>
          <w:t>duma</w:t>
        </w:r>
        <w:proofErr w:type="spellEnd"/>
        <w:r w:rsidR="00573232" w:rsidRPr="008B0AB4">
          <w:rPr>
            <w:rStyle w:val="ac"/>
            <w:rFonts w:ascii="Times New Roman" w:hAnsi="Times New Roman"/>
            <w:sz w:val="24"/>
            <w:szCs w:val="24"/>
          </w:rPr>
          <w:t>-</w:t>
        </w:r>
        <w:proofErr w:type="spellStart"/>
        <w:r w:rsidR="00573232" w:rsidRPr="008B0AB4">
          <w:rPr>
            <w:rStyle w:val="ac"/>
            <w:rFonts w:ascii="Times New Roman" w:hAnsi="Times New Roman"/>
            <w:sz w:val="24"/>
            <w:szCs w:val="24"/>
            <w:lang w:val="en-US"/>
          </w:rPr>
          <w:t>miass</w:t>
        </w:r>
        <w:proofErr w:type="spellEnd"/>
        <w:r w:rsidR="00573232" w:rsidRPr="008B0AB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="00573232" w:rsidRPr="008B0AB4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73232" w:rsidRPr="008B0AB4">
        <w:rPr>
          <w:rFonts w:ascii="Times New Roman" w:hAnsi="Times New Roman"/>
          <w:sz w:val="24"/>
          <w:szCs w:val="24"/>
        </w:rPr>
        <w:t>.</w:t>
      </w:r>
    </w:p>
    <w:p w:rsidR="007D06A8" w:rsidRPr="007D06A8" w:rsidRDefault="007D06A8" w:rsidP="007D06A8">
      <w:pPr>
        <w:tabs>
          <w:tab w:val="left" w:pos="993"/>
        </w:tabs>
        <w:suppressAutoHyphens/>
        <w:jc w:val="both"/>
      </w:pPr>
    </w:p>
    <w:p w:rsidR="009B1B9A" w:rsidRPr="00337DFA" w:rsidRDefault="009B1B9A" w:rsidP="00337DFA">
      <w:pPr>
        <w:rPr>
          <w:lang w:eastAsia="en-US"/>
        </w:rPr>
      </w:pPr>
      <w:r w:rsidRPr="00337DFA">
        <w:rPr>
          <w:lang w:eastAsia="en-US"/>
        </w:rPr>
        <w:t xml:space="preserve">Председательствующий </w:t>
      </w:r>
    </w:p>
    <w:p w:rsidR="009B1B9A" w:rsidRPr="00337DFA" w:rsidRDefault="009B1B9A" w:rsidP="00337DFA">
      <w:pPr>
        <w:tabs>
          <w:tab w:val="left" w:pos="7797"/>
        </w:tabs>
        <w:rPr>
          <w:lang w:eastAsia="en-US"/>
        </w:rPr>
      </w:pPr>
      <w:r w:rsidRPr="00337DFA">
        <w:rPr>
          <w:lang w:eastAsia="en-US"/>
        </w:rPr>
        <w:t xml:space="preserve">на публичных слушаниях             </w:t>
      </w:r>
      <w:r w:rsidR="00337DFA">
        <w:rPr>
          <w:lang w:eastAsia="en-US"/>
        </w:rPr>
        <w:t xml:space="preserve"> </w:t>
      </w:r>
      <w:r w:rsidRPr="00337DFA">
        <w:rPr>
          <w:lang w:eastAsia="en-US"/>
        </w:rPr>
        <w:t xml:space="preserve">                                                              </w:t>
      </w:r>
      <w:r w:rsidR="008E5C26" w:rsidRPr="00337DFA">
        <w:rPr>
          <w:lang w:eastAsia="en-US"/>
        </w:rPr>
        <w:t xml:space="preserve">         </w:t>
      </w:r>
      <w:r w:rsidR="00D51FE9">
        <w:rPr>
          <w:lang w:eastAsia="en-US"/>
        </w:rPr>
        <w:t>Д.Г. Проскурин</w:t>
      </w: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7D06A8" w:rsidRDefault="007D06A8" w:rsidP="008B0AB4">
      <w:pPr>
        <w:jc w:val="right"/>
      </w:pPr>
    </w:p>
    <w:p w:rsidR="007D06A8" w:rsidRDefault="007D06A8" w:rsidP="008B0AB4">
      <w:pPr>
        <w:jc w:val="right"/>
      </w:pPr>
    </w:p>
    <w:p w:rsidR="007D06A8" w:rsidRDefault="007D06A8" w:rsidP="008B0AB4">
      <w:pPr>
        <w:jc w:val="right"/>
      </w:pPr>
    </w:p>
    <w:p w:rsidR="007D06A8" w:rsidRDefault="007D06A8" w:rsidP="008B0AB4">
      <w:pPr>
        <w:jc w:val="right"/>
      </w:pPr>
    </w:p>
    <w:p w:rsidR="007D06A8" w:rsidRDefault="007D06A8" w:rsidP="008B0AB4">
      <w:pPr>
        <w:jc w:val="right"/>
      </w:pPr>
    </w:p>
    <w:p w:rsidR="007D06A8" w:rsidRDefault="007D06A8" w:rsidP="008B0AB4">
      <w:pPr>
        <w:jc w:val="right"/>
      </w:pPr>
    </w:p>
    <w:p w:rsidR="007D06A8" w:rsidRDefault="007D06A8" w:rsidP="008B0AB4">
      <w:pPr>
        <w:jc w:val="right"/>
      </w:pPr>
    </w:p>
    <w:p w:rsidR="007D06A8" w:rsidRDefault="007D06A8" w:rsidP="008B0AB4">
      <w:pPr>
        <w:jc w:val="right"/>
      </w:pPr>
    </w:p>
    <w:p w:rsidR="00C86650" w:rsidRDefault="00C86650" w:rsidP="008B0AB4">
      <w:pPr>
        <w:jc w:val="right"/>
      </w:pPr>
    </w:p>
    <w:p w:rsidR="00C86650" w:rsidRDefault="00C86650" w:rsidP="008B0AB4">
      <w:pPr>
        <w:jc w:val="right"/>
      </w:pPr>
    </w:p>
    <w:p w:rsidR="000019B1" w:rsidRPr="00D9563B" w:rsidRDefault="000019B1" w:rsidP="000019B1">
      <w:pPr>
        <w:jc w:val="right"/>
      </w:pPr>
      <w:r w:rsidRPr="00D9563B">
        <w:t xml:space="preserve">ПРИЛОЖЕНИЕ </w:t>
      </w:r>
    </w:p>
    <w:p w:rsidR="000019B1" w:rsidRPr="00D9563B" w:rsidRDefault="000019B1" w:rsidP="000019B1">
      <w:pPr>
        <w:jc w:val="right"/>
      </w:pPr>
      <w:r w:rsidRPr="00D9563B">
        <w:t>к заключению о результатах</w:t>
      </w:r>
    </w:p>
    <w:p w:rsidR="000019B1" w:rsidRPr="00D9563B" w:rsidRDefault="000019B1" w:rsidP="000019B1">
      <w:pPr>
        <w:jc w:val="right"/>
      </w:pPr>
      <w:r w:rsidRPr="00D9563B">
        <w:t xml:space="preserve"> публичных слушаний</w:t>
      </w:r>
    </w:p>
    <w:p w:rsidR="000019B1" w:rsidRPr="00D9563B" w:rsidRDefault="000019B1" w:rsidP="000019B1">
      <w:pPr>
        <w:jc w:val="right"/>
      </w:pPr>
      <w:r w:rsidRPr="00D9563B">
        <w:t>от 13.11.2020 г.</w:t>
      </w:r>
    </w:p>
    <w:p w:rsidR="000019B1" w:rsidRPr="00D9563B" w:rsidRDefault="000019B1" w:rsidP="000019B1">
      <w:pPr>
        <w:jc w:val="right"/>
      </w:pPr>
    </w:p>
    <w:p w:rsidR="000019B1" w:rsidRPr="00D9563B" w:rsidRDefault="000019B1" w:rsidP="000019B1">
      <w:pPr>
        <w:jc w:val="center"/>
        <w:rPr>
          <w:u w:val="single"/>
        </w:rPr>
      </w:pPr>
      <w:r w:rsidRPr="00D9563B">
        <w:rPr>
          <w:u w:val="single"/>
        </w:rPr>
        <w:t>Справочная информация о вопросах, заданных во время проведения публичных слушаний, относительно исполнения бюджета Миасского городского округа за 2019 год</w:t>
      </w:r>
    </w:p>
    <w:p w:rsidR="000019B1" w:rsidRPr="00D9563B" w:rsidRDefault="000019B1" w:rsidP="000019B1">
      <w:pPr>
        <w:jc w:val="center"/>
      </w:pPr>
    </w:p>
    <w:p w:rsidR="000019B1" w:rsidRPr="00D9563B" w:rsidRDefault="000019B1" w:rsidP="000019B1">
      <w:pPr>
        <w:jc w:val="center"/>
      </w:pPr>
    </w:p>
    <w:p w:rsidR="000019B1" w:rsidRPr="00D9563B" w:rsidRDefault="000019B1" w:rsidP="000019B1">
      <w:pPr>
        <w:jc w:val="both"/>
        <w:rPr>
          <w:i/>
        </w:rPr>
      </w:pPr>
      <w:r w:rsidRPr="00D9563B">
        <w:rPr>
          <w:i/>
        </w:rPr>
        <w:t>1. Почему денежные средства из бюджета МГО выделяются для проведения спортивно-массовых мероприятий только для детей и подростков, а взрослые команды принимают участие в мероприятиях за счет личных денежных средств?</w:t>
      </w:r>
    </w:p>
    <w:p w:rsidR="000019B1" w:rsidRPr="00D9563B" w:rsidRDefault="000019B1" w:rsidP="000019B1">
      <w:pPr>
        <w:jc w:val="both"/>
      </w:pPr>
      <w:r w:rsidRPr="00D9563B">
        <w:t xml:space="preserve">ОТВЕТ: </w:t>
      </w:r>
    </w:p>
    <w:p w:rsidR="000019B1" w:rsidRPr="00D9563B" w:rsidRDefault="000019B1" w:rsidP="000019B1">
      <w:pPr>
        <w:ind w:firstLine="708"/>
        <w:jc w:val="both"/>
      </w:pPr>
      <w:r w:rsidRPr="00D9563B">
        <w:t xml:space="preserve">Спортивно-массовые мероприятия, проводимые  Управлением по физической культуре и спорту АМГО на территории Миасского городского округа, полностью финансируются из бюджета Округа. Участие в городских мероприятиях не предусматривает вложение личных денежных средств, независимо от возраста участников. В соответствии с Положением о проведении спортивных мероприятий («Азия-Европа-Азия», «Хозяйка </w:t>
      </w:r>
      <w:proofErr w:type="spellStart"/>
      <w:r w:rsidRPr="00D9563B">
        <w:t>Ильменских</w:t>
      </w:r>
      <w:proofErr w:type="spellEnd"/>
      <w:r w:rsidRPr="00D9563B">
        <w:t xml:space="preserve"> гор» и пр.) регистрация для участия в соревнованиях (стартовый взнос) для жителей Миасского городского округа производится бесплатно.</w:t>
      </w:r>
    </w:p>
    <w:p w:rsidR="000019B1" w:rsidRPr="00D9563B" w:rsidRDefault="000019B1" w:rsidP="000019B1">
      <w:pPr>
        <w:ind w:firstLine="708"/>
        <w:jc w:val="both"/>
        <w:rPr>
          <w:sz w:val="8"/>
          <w:szCs w:val="8"/>
        </w:rPr>
      </w:pPr>
    </w:p>
    <w:p w:rsidR="000019B1" w:rsidRPr="00D9563B" w:rsidRDefault="000019B1" w:rsidP="000019B1">
      <w:pPr>
        <w:jc w:val="both"/>
        <w:rPr>
          <w:i/>
        </w:rPr>
      </w:pPr>
      <w:r w:rsidRPr="00D9563B">
        <w:rPr>
          <w:i/>
        </w:rPr>
        <w:t>2. Какое количество контейнеров для сбора твердых коммунальных отходов было приобретено МГО в 2019 году в рамках реализации национального проекта «Экология»?</w:t>
      </w:r>
    </w:p>
    <w:p w:rsidR="000019B1" w:rsidRPr="00D9563B" w:rsidRDefault="000019B1" w:rsidP="000019B1">
      <w:pPr>
        <w:jc w:val="both"/>
      </w:pPr>
      <w:r w:rsidRPr="00D9563B">
        <w:t xml:space="preserve">ОТВЕТ: </w:t>
      </w:r>
    </w:p>
    <w:p w:rsidR="000019B1" w:rsidRPr="00D9563B" w:rsidRDefault="000019B1" w:rsidP="000019B1">
      <w:pPr>
        <w:ind w:firstLine="708"/>
        <w:jc w:val="both"/>
      </w:pPr>
      <w:r w:rsidRPr="00D9563B">
        <w:t>В рамках реализации национального проекта "Экология" за счет средств областного бюджета в 2019 году приобретены контейнеры для сбора твердых коммунальных отходов в количестве 423 штук на общую сумму 8433,1 тыс. рублей.</w:t>
      </w:r>
    </w:p>
    <w:p w:rsidR="000019B1" w:rsidRPr="00D9563B" w:rsidRDefault="000019B1" w:rsidP="000019B1">
      <w:pPr>
        <w:ind w:firstLine="708"/>
        <w:jc w:val="both"/>
        <w:rPr>
          <w:sz w:val="8"/>
          <w:szCs w:val="8"/>
        </w:rPr>
      </w:pPr>
    </w:p>
    <w:p w:rsidR="000019B1" w:rsidRPr="00D9563B" w:rsidRDefault="000019B1" w:rsidP="000019B1">
      <w:pPr>
        <w:jc w:val="both"/>
        <w:rPr>
          <w:i/>
        </w:rPr>
      </w:pPr>
      <w:r w:rsidRPr="00D9563B">
        <w:rPr>
          <w:i/>
        </w:rPr>
        <w:t xml:space="preserve">3. Что более </w:t>
      </w:r>
      <w:proofErr w:type="spellStart"/>
      <w:r w:rsidRPr="00D9563B">
        <w:rPr>
          <w:i/>
        </w:rPr>
        <w:t>затратно</w:t>
      </w:r>
      <w:proofErr w:type="spellEnd"/>
      <w:r w:rsidRPr="00D9563B">
        <w:rPr>
          <w:i/>
        </w:rPr>
        <w:t xml:space="preserve"> для бюджета МГО: провести газовые трубы над поверхностью земли или укладывать их в землю?</w:t>
      </w:r>
    </w:p>
    <w:p w:rsidR="000019B1" w:rsidRPr="00D9563B" w:rsidRDefault="000019B1" w:rsidP="000019B1">
      <w:pPr>
        <w:jc w:val="both"/>
      </w:pPr>
      <w:r w:rsidRPr="00D9563B">
        <w:t xml:space="preserve">ОТВЕТ: </w:t>
      </w:r>
    </w:p>
    <w:p w:rsidR="000019B1" w:rsidRPr="00D9563B" w:rsidRDefault="000019B1" w:rsidP="000019B1">
      <w:pPr>
        <w:keepNext/>
        <w:keepLines/>
        <w:shd w:val="clear" w:color="auto" w:fill="FFFFFF"/>
        <w:ind w:firstLine="708"/>
        <w:jc w:val="both"/>
        <w:textAlignment w:val="baseline"/>
        <w:outlineLvl w:val="0"/>
        <w:rPr>
          <w:rFonts w:eastAsiaTheme="majorEastAsia"/>
          <w:spacing w:val="2"/>
          <w:shd w:val="clear" w:color="auto" w:fill="FFFFFF"/>
        </w:rPr>
      </w:pPr>
      <w:r w:rsidRPr="00D9563B">
        <w:rPr>
          <w:rFonts w:eastAsiaTheme="majorEastAsia"/>
          <w:spacing w:val="2"/>
          <w:shd w:val="clear" w:color="auto" w:fill="FFFFFF"/>
        </w:rPr>
        <w:t xml:space="preserve">Согласно </w:t>
      </w:r>
      <w:proofErr w:type="spellStart"/>
      <w:proofErr w:type="gramStart"/>
      <w:r w:rsidRPr="00D9563B">
        <w:rPr>
          <w:rFonts w:eastAsiaTheme="majorEastAsia"/>
          <w:spacing w:val="2"/>
          <w:shd w:val="clear" w:color="auto" w:fill="FFFFFF"/>
        </w:rPr>
        <w:t>п</w:t>
      </w:r>
      <w:proofErr w:type="spellEnd"/>
      <w:proofErr w:type="gramEnd"/>
      <w:r w:rsidRPr="00D9563B">
        <w:rPr>
          <w:rFonts w:eastAsiaTheme="majorEastAsia"/>
          <w:spacing w:val="2"/>
          <w:shd w:val="clear" w:color="auto" w:fill="FFFFFF"/>
        </w:rPr>
        <w:t xml:space="preserve"> 4.7 </w:t>
      </w:r>
      <w:r w:rsidRPr="00D9563B">
        <w:rPr>
          <w:rFonts w:eastAsiaTheme="majorEastAsia"/>
          <w:spacing w:val="2"/>
        </w:rPr>
        <w:t xml:space="preserve">СП 42-101-2003 «Общие положения по проектированию и строительству газораспределительных систем из металлических и полиэтиленовых труб» </w:t>
      </w:r>
      <w:r w:rsidRPr="00D9563B">
        <w:rPr>
          <w:rFonts w:eastAsiaTheme="majorEastAsia"/>
          <w:spacing w:val="2"/>
          <w:shd w:val="clear" w:color="auto" w:fill="FFFFFF"/>
        </w:rPr>
        <w:t xml:space="preserve">на территории поселений прокладка газопроводов предусматривается преимущественно </w:t>
      </w:r>
      <w:r w:rsidRPr="00D9563B">
        <w:rPr>
          <w:rFonts w:eastAsiaTheme="majorEastAsia"/>
          <w:b/>
          <w:spacing w:val="2"/>
          <w:shd w:val="clear" w:color="auto" w:fill="FFFFFF"/>
        </w:rPr>
        <w:t>подземной</w:t>
      </w:r>
      <w:r w:rsidRPr="00D9563B">
        <w:rPr>
          <w:rFonts w:eastAsiaTheme="majorEastAsia"/>
          <w:spacing w:val="2"/>
          <w:shd w:val="clear" w:color="auto" w:fill="FFFFFF"/>
        </w:rPr>
        <w:t xml:space="preserve">, в соответствии с требованиями </w:t>
      </w:r>
      <w:hyperlink r:id="rId9" w:history="1">
        <w:r w:rsidRPr="00D9563B">
          <w:rPr>
            <w:rFonts w:eastAsiaTheme="majorEastAsia"/>
            <w:spacing w:val="2"/>
            <w:u w:val="single"/>
            <w:shd w:val="clear" w:color="auto" w:fill="FFFFFF"/>
          </w:rPr>
          <w:t>СНиП2.07.01</w:t>
        </w:r>
      </w:hyperlink>
      <w:r w:rsidRPr="00D9563B">
        <w:rPr>
          <w:rFonts w:eastAsiaTheme="majorEastAsia"/>
          <w:spacing w:val="2"/>
          <w:shd w:val="clear" w:color="auto" w:fill="FFFFFF"/>
        </w:rPr>
        <w:t>. Прокладка надземного газопровода осуществляется при техническом обосновании, которое составляется проектной организацией исходя из сложившихся архитектурно-планировочных, грунтовых и других условий района строительства. Способ прокладки определяется проектными решениями, получившими положительное заключение государственной экспертизы на основании выполненных инженерных изысканий. Вопрос стоимости строительства в данном случае не является основополагающим.</w:t>
      </w:r>
    </w:p>
    <w:p w:rsidR="000019B1" w:rsidRPr="00D9563B" w:rsidRDefault="000019B1" w:rsidP="000019B1">
      <w:pPr>
        <w:keepNext/>
        <w:keepLines/>
        <w:shd w:val="clear" w:color="auto" w:fill="FFFFFF"/>
        <w:ind w:firstLine="708"/>
        <w:jc w:val="both"/>
        <w:textAlignment w:val="baseline"/>
        <w:outlineLvl w:val="0"/>
        <w:rPr>
          <w:rFonts w:eastAsiaTheme="majorEastAsia"/>
        </w:rPr>
      </w:pPr>
      <w:r w:rsidRPr="00D9563B">
        <w:rPr>
          <w:rFonts w:eastAsiaTheme="majorEastAsia"/>
          <w:spacing w:val="2"/>
          <w:shd w:val="clear" w:color="auto" w:fill="FFFFFF"/>
        </w:rPr>
        <w:t xml:space="preserve">Финансирование строительства газопроводов осуществляется </w:t>
      </w:r>
      <w:r w:rsidRPr="00D9563B">
        <w:rPr>
          <w:rFonts w:eastAsiaTheme="majorEastAsia"/>
        </w:rPr>
        <w:t xml:space="preserve">из </w:t>
      </w:r>
      <w:r w:rsidRPr="00D9563B">
        <w:rPr>
          <w:rFonts w:eastAsiaTheme="majorEastAsia"/>
          <w:b/>
        </w:rPr>
        <w:t>областного бюджета</w:t>
      </w:r>
      <w:r w:rsidRPr="00D9563B">
        <w:rPr>
          <w:rFonts w:eastAsiaTheme="majorEastAsia"/>
        </w:rPr>
        <w:t xml:space="preserve"> в рамках доведенных лимитов бюджетных обязательств на предоставление субсидий местным бюджетам с обязательным условием </w:t>
      </w:r>
      <w:proofErr w:type="spellStart"/>
      <w:r w:rsidRPr="00D9563B">
        <w:rPr>
          <w:rFonts w:eastAsiaTheme="majorEastAsia"/>
        </w:rPr>
        <w:t>софинансирования</w:t>
      </w:r>
      <w:proofErr w:type="spellEnd"/>
      <w:r w:rsidRPr="00D9563B">
        <w:rPr>
          <w:rFonts w:eastAsiaTheme="majorEastAsia"/>
        </w:rPr>
        <w:t xml:space="preserve"> из местного бюджета.</w:t>
      </w:r>
    </w:p>
    <w:p w:rsidR="000019B1" w:rsidRPr="00D9563B" w:rsidRDefault="000019B1" w:rsidP="000019B1">
      <w:pPr>
        <w:rPr>
          <w:sz w:val="8"/>
          <w:szCs w:val="8"/>
        </w:rPr>
      </w:pPr>
    </w:p>
    <w:p w:rsidR="000019B1" w:rsidRPr="00D9563B" w:rsidRDefault="000019B1" w:rsidP="000019B1">
      <w:pPr>
        <w:jc w:val="both"/>
        <w:rPr>
          <w:i/>
        </w:rPr>
      </w:pPr>
      <w:r w:rsidRPr="00D9563B">
        <w:rPr>
          <w:i/>
        </w:rPr>
        <w:t xml:space="preserve">4. Почему в южной части города в районе ул. </w:t>
      </w:r>
      <w:proofErr w:type="gramStart"/>
      <w:r w:rsidRPr="00D9563B">
        <w:rPr>
          <w:i/>
        </w:rPr>
        <w:t>Болотная</w:t>
      </w:r>
      <w:proofErr w:type="gramEnd"/>
      <w:r w:rsidRPr="00D9563B">
        <w:rPr>
          <w:i/>
        </w:rPr>
        <w:t xml:space="preserve"> после проведения газопровода нет газификации?</w:t>
      </w:r>
    </w:p>
    <w:p w:rsidR="000019B1" w:rsidRPr="00D9563B" w:rsidRDefault="000019B1" w:rsidP="000019B1">
      <w:pPr>
        <w:jc w:val="both"/>
      </w:pPr>
      <w:r w:rsidRPr="00D9563B">
        <w:t>ОТВЕТ:</w:t>
      </w:r>
    </w:p>
    <w:p w:rsidR="000019B1" w:rsidRPr="00D9563B" w:rsidRDefault="000019B1" w:rsidP="000019B1">
      <w:pPr>
        <w:ind w:firstLine="709"/>
        <w:jc w:val="both"/>
      </w:pPr>
      <w:r w:rsidRPr="00D9563B">
        <w:t>В настоящее время газоснабжение жилых домов в районе улицы Болотной полностью восстановлено.</w:t>
      </w:r>
    </w:p>
    <w:p w:rsidR="000019B1" w:rsidRPr="00D9563B" w:rsidRDefault="000019B1" w:rsidP="000019B1">
      <w:pPr>
        <w:ind w:firstLine="709"/>
        <w:jc w:val="both"/>
        <w:rPr>
          <w:sz w:val="8"/>
          <w:szCs w:val="8"/>
        </w:rPr>
      </w:pPr>
    </w:p>
    <w:p w:rsidR="000019B1" w:rsidRPr="00D9563B" w:rsidRDefault="000019B1" w:rsidP="000019B1">
      <w:pPr>
        <w:jc w:val="both"/>
        <w:rPr>
          <w:i/>
        </w:rPr>
      </w:pPr>
      <w:r w:rsidRPr="00D9563B">
        <w:rPr>
          <w:i/>
        </w:rPr>
        <w:t xml:space="preserve">5. </w:t>
      </w:r>
      <w:proofErr w:type="gramStart"/>
      <w:r w:rsidRPr="00D9563B">
        <w:rPr>
          <w:i/>
        </w:rPr>
        <w:t>Возможно</w:t>
      </w:r>
      <w:proofErr w:type="gramEnd"/>
      <w:r w:rsidRPr="00D9563B">
        <w:rPr>
          <w:i/>
        </w:rPr>
        <w:t xml:space="preserve"> ли в южной части города вывести газопровод на поверхность земли?</w:t>
      </w:r>
    </w:p>
    <w:p w:rsidR="000019B1" w:rsidRPr="00D9563B" w:rsidRDefault="000019B1" w:rsidP="000019B1">
      <w:pPr>
        <w:jc w:val="both"/>
      </w:pPr>
      <w:r w:rsidRPr="00D9563B">
        <w:t>ОТВЕТ:</w:t>
      </w:r>
    </w:p>
    <w:p w:rsidR="000019B1" w:rsidRPr="00D9563B" w:rsidRDefault="000019B1" w:rsidP="000019B1">
      <w:pPr>
        <w:ind w:firstLine="708"/>
        <w:jc w:val="both"/>
        <w:rPr>
          <w:shd w:val="clear" w:color="auto" w:fill="FFFFFF"/>
        </w:rPr>
      </w:pPr>
      <w:r w:rsidRPr="00D9563B">
        <w:rPr>
          <w:shd w:val="clear" w:color="auto" w:fill="FFFFFF"/>
        </w:rPr>
        <w:t>Смена способа прокладки сети газораспределения (</w:t>
      </w:r>
      <w:proofErr w:type="gramStart"/>
      <w:r w:rsidRPr="00D9563B">
        <w:rPr>
          <w:shd w:val="clear" w:color="auto" w:fill="FFFFFF"/>
        </w:rPr>
        <w:t>подземный</w:t>
      </w:r>
      <w:proofErr w:type="gramEnd"/>
      <w:r w:rsidRPr="00D9563B">
        <w:rPr>
          <w:shd w:val="clear" w:color="auto" w:fill="FFFFFF"/>
        </w:rPr>
        <w:t xml:space="preserve"> на надземный) является реконструкцией газопровода, для которой требуется разработка проектно-сметной документации, получение положительного заключения государственной экспертизы и определение источника финансирования выполнения строительно-монтажных работ.</w:t>
      </w:r>
    </w:p>
    <w:p w:rsidR="000019B1" w:rsidRPr="00D9563B" w:rsidRDefault="000019B1" w:rsidP="000019B1">
      <w:pPr>
        <w:ind w:firstLine="708"/>
        <w:jc w:val="both"/>
        <w:rPr>
          <w:sz w:val="8"/>
          <w:szCs w:val="8"/>
        </w:rPr>
      </w:pPr>
    </w:p>
    <w:p w:rsidR="000019B1" w:rsidRPr="00D9563B" w:rsidRDefault="000019B1" w:rsidP="000019B1">
      <w:pPr>
        <w:jc w:val="both"/>
        <w:rPr>
          <w:i/>
        </w:rPr>
      </w:pPr>
      <w:r w:rsidRPr="00D9563B">
        <w:rPr>
          <w:i/>
        </w:rPr>
        <w:t xml:space="preserve">6. </w:t>
      </w:r>
      <w:proofErr w:type="gramStart"/>
      <w:r w:rsidRPr="00D9563B">
        <w:rPr>
          <w:i/>
        </w:rPr>
        <w:t>Возможно</w:t>
      </w:r>
      <w:proofErr w:type="gramEnd"/>
      <w:r w:rsidRPr="00D9563B">
        <w:rPr>
          <w:i/>
        </w:rPr>
        <w:t xml:space="preserve"> ли включить в бюджет МГО на 2021 год статью расходов, а именно: отсыпка дорог, поврежденных при проведении ремонтных работ на газопроводе?</w:t>
      </w:r>
    </w:p>
    <w:p w:rsidR="000019B1" w:rsidRPr="00D9563B" w:rsidRDefault="000019B1" w:rsidP="000019B1">
      <w:pPr>
        <w:jc w:val="both"/>
      </w:pPr>
      <w:r w:rsidRPr="00D9563B">
        <w:t>ОТВЕТ:</w:t>
      </w:r>
    </w:p>
    <w:p w:rsidR="000019B1" w:rsidRPr="00D9563B" w:rsidRDefault="000019B1" w:rsidP="000019B1">
      <w:pPr>
        <w:ind w:firstLine="709"/>
        <w:jc w:val="both"/>
      </w:pPr>
      <w:r w:rsidRPr="00D9563B">
        <w:t>Восстановление благоустройства после выполнения ремонтных работ на инженерных сетях предусмотрено в объеме выполняемых работ.</w:t>
      </w:r>
    </w:p>
    <w:p w:rsidR="000019B1" w:rsidRPr="00D9563B" w:rsidRDefault="000019B1" w:rsidP="000019B1">
      <w:pPr>
        <w:ind w:firstLine="709"/>
        <w:jc w:val="both"/>
        <w:rPr>
          <w:sz w:val="8"/>
          <w:szCs w:val="8"/>
        </w:rPr>
      </w:pPr>
    </w:p>
    <w:p w:rsidR="000019B1" w:rsidRPr="00D9563B" w:rsidRDefault="000019B1" w:rsidP="000019B1">
      <w:pPr>
        <w:jc w:val="both"/>
        <w:rPr>
          <w:i/>
        </w:rPr>
      </w:pPr>
      <w:r w:rsidRPr="00D9563B">
        <w:rPr>
          <w:i/>
        </w:rPr>
        <w:t>7. Проработать вопрос по регулированию графика маршрутного транспорта в южную часть города, а также увеличить количество транспортных единиц по маршрутам.</w:t>
      </w:r>
    </w:p>
    <w:p w:rsidR="000019B1" w:rsidRPr="00D9563B" w:rsidRDefault="000019B1" w:rsidP="000019B1">
      <w:pPr>
        <w:jc w:val="both"/>
      </w:pPr>
      <w:r w:rsidRPr="00D9563B">
        <w:t>ОТВЕТ:</w:t>
      </w:r>
    </w:p>
    <w:p w:rsidR="000019B1" w:rsidRPr="00D9563B" w:rsidRDefault="000019B1" w:rsidP="000019B1">
      <w:pPr>
        <w:ind w:firstLine="709"/>
        <w:jc w:val="both"/>
      </w:pPr>
      <w:proofErr w:type="gramStart"/>
      <w:r w:rsidRPr="00D9563B">
        <w:t>В  настоящее время в рамках муниципального контракта на выполнение научно-исследовательской работы по разработке и актуализации документов транспортного планирования на территории Миасского городского округа, с увязкой развития транспорта со стратегией развития города и актуальным градостроительным планом ведутся работы по актуализации маршрутной сети Миасского городского округа, в том числе производится обследование пассажиропотоков, по результатам которого будет принято решение о внесении изменений в</w:t>
      </w:r>
      <w:proofErr w:type="gramEnd"/>
      <w:r w:rsidRPr="00D9563B">
        <w:t xml:space="preserve"> направления следования общественного транспорта  и количество единиц транспортных средств на маршрутах, необходимых для обеспечения потребности населения.</w:t>
      </w:r>
    </w:p>
    <w:p w:rsidR="000019B1" w:rsidRPr="00D9563B" w:rsidRDefault="000019B1" w:rsidP="000019B1">
      <w:pPr>
        <w:jc w:val="both"/>
      </w:pPr>
    </w:p>
    <w:p w:rsidR="000019B1" w:rsidRPr="00D9563B" w:rsidRDefault="000019B1" w:rsidP="000019B1">
      <w:pPr>
        <w:jc w:val="center"/>
        <w:rPr>
          <w:u w:val="single"/>
        </w:rPr>
      </w:pPr>
      <w:r w:rsidRPr="00D9563B">
        <w:rPr>
          <w:u w:val="single"/>
        </w:rPr>
        <w:t>Справочная информация о выступлениях жителей в устной форме во время проведения публичных слушаний, относительно исполнения бюджета Миасского городского округа за 2019 год</w:t>
      </w:r>
    </w:p>
    <w:p w:rsidR="000019B1" w:rsidRPr="00D9563B" w:rsidRDefault="000019B1" w:rsidP="000019B1">
      <w:pPr>
        <w:jc w:val="both"/>
        <w:rPr>
          <w:sz w:val="8"/>
          <w:szCs w:val="8"/>
        </w:rPr>
      </w:pPr>
    </w:p>
    <w:p w:rsidR="000019B1" w:rsidRPr="00D9563B" w:rsidRDefault="000019B1" w:rsidP="000019B1">
      <w:pPr>
        <w:jc w:val="both"/>
        <w:outlineLvl w:val="0"/>
        <w:rPr>
          <w:i/>
        </w:rPr>
      </w:pPr>
      <w:r w:rsidRPr="00D9563B">
        <w:rPr>
          <w:i/>
          <w:u w:val="single"/>
        </w:rPr>
        <w:t xml:space="preserve">1. </w:t>
      </w:r>
      <w:proofErr w:type="spellStart"/>
      <w:r w:rsidRPr="00D9563B">
        <w:rPr>
          <w:i/>
          <w:u w:val="single"/>
        </w:rPr>
        <w:t>Комкова</w:t>
      </w:r>
      <w:proofErr w:type="spellEnd"/>
      <w:r w:rsidRPr="00D9563B">
        <w:rPr>
          <w:i/>
          <w:u w:val="single"/>
        </w:rPr>
        <w:t xml:space="preserve"> В.В.</w:t>
      </w:r>
      <w:r w:rsidRPr="00D9563B">
        <w:rPr>
          <w:i/>
        </w:rPr>
        <w:t xml:space="preserve"> сказала о некомпетентности органов местного самоуправления, что приводит к высоким показателям </w:t>
      </w:r>
      <w:proofErr w:type="spellStart"/>
      <w:r w:rsidRPr="00D9563B">
        <w:rPr>
          <w:i/>
        </w:rPr>
        <w:t>неосвоения</w:t>
      </w:r>
      <w:proofErr w:type="spellEnd"/>
      <w:r w:rsidRPr="00D9563B">
        <w:rPr>
          <w:i/>
        </w:rPr>
        <w:t xml:space="preserve"> денежных средств бюджета МГО. Перечислила муниципальные программы, по которым в 2019 году произошло </w:t>
      </w:r>
      <w:proofErr w:type="spellStart"/>
      <w:r w:rsidRPr="00D9563B">
        <w:rPr>
          <w:i/>
        </w:rPr>
        <w:t>неосвоение</w:t>
      </w:r>
      <w:proofErr w:type="spellEnd"/>
      <w:r w:rsidRPr="00D9563B">
        <w:rPr>
          <w:i/>
        </w:rPr>
        <w:t xml:space="preserve"> денежных средств. Предложила, в связи с </w:t>
      </w:r>
      <w:proofErr w:type="spellStart"/>
      <w:r w:rsidRPr="00D9563B">
        <w:rPr>
          <w:i/>
        </w:rPr>
        <w:t>неосвоением</w:t>
      </w:r>
      <w:proofErr w:type="spellEnd"/>
      <w:r w:rsidRPr="00D9563B">
        <w:rPr>
          <w:i/>
        </w:rPr>
        <w:t xml:space="preserve"> бюджета за 2019 год более 43,0 млн</w:t>
      </w:r>
      <w:proofErr w:type="gramStart"/>
      <w:r w:rsidRPr="00D9563B">
        <w:rPr>
          <w:i/>
        </w:rPr>
        <w:t>.р</w:t>
      </w:r>
      <w:proofErr w:type="gramEnd"/>
      <w:r w:rsidRPr="00D9563B">
        <w:rPr>
          <w:i/>
        </w:rPr>
        <w:t xml:space="preserve">ублей, проект решения «Об исполнении бюджета Миасского городского округа за 2019 год» не принимать, рассмотреть вопрос об отставке Главы Миасского городского округа за бездействие.  </w:t>
      </w:r>
    </w:p>
    <w:p w:rsidR="000019B1" w:rsidRPr="00D9563B" w:rsidRDefault="000019B1" w:rsidP="000019B1">
      <w:pPr>
        <w:jc w:val="both"/>
        <w:outlineLvl w:val="0"/>
        <w:rPr>
          <w:i/>
        </w:rPr>
      </w:pPr>
      <w:r w:rsidRPr="00D9563B">
        <w:rPr>
          <w:i/>
        </w:rPr>
        <w:t>Обратилась от имени работников АО «АЗ «Урал» с просьбой обратить внимание на возможность выделения денежных средств из бюджета МГО на спортивно-массовые мероприятия с участием взрослых команд.</w:t>
      </w:r>
    </w:p>
    <w:p w:rsidR="000019B1" w:rsidRPr="00D9563B" w:rsidRDefault="000019B1" w:rsidP="000019B1">
      <w:pPr>
        <w:jc w:val="both"/>
        <w:outlineLvl w:val="0"/>
      </w:pPr>
      <w:r w:rsidRPr="00D9563B">
        <w:t>ОТВЕТ:</w:t>
      </w:r>
    </w:p>
    <w:p w:rsidR="000019B1" w:rsidRPr="00D9563B" w:rsidRDefault="000019B1" w:rsidP="000019B1">
      <w:pPr>
        <w:ind w:firstLine="708"/>
        <w:jc w:val="both"/>
      </w:pPr>
      <w:proofErr w:type="gramStart"/>
      <w:r w:rsidRPr="00D9563B">
        <w:t>В соответствии с Положением о проведении спортивных мероприятий регистрация для участия в соревнованиях</w:t>
      </w:r>
      <w:proofErr w:type="gramEnd"/>
      <w:r w:rsidRPr="00D9563B">
        <w:t xml:space="preserve"> (стартовый взнос) для жителей Миасского городского округа производится бесплатно, независимо от возраста участников.</w:t>
      </w:r>
    </w:p>
    <w:p w:rsidR="000019B1" w:rsidRPr="00D9563B" w:rsidRDefault="000019B1" w:rsidP="000019B1">
      <w:pPr>
        <w:ind w:firstLine="708"/>
        <w:jc w:val="both"/>
        <w:outlineLvl w:val="0"/>
      </w:pPr>
      <w:r w:rsidRPr="00D9563B">
        <w:t>В соответствии с Порядком предоставления субсидии субъектам, осуществляющим деятельность в области физической культуры и спорта, (некоммерческим спортивным организациям) на содержание, развитие и поддержку ведущих команд (клубов) по игровым и техническим видам спорта, участвующих в чемпионатах и первенствах Челябинской области и России на содержание АНО «Футбольный клуб Торпедо Миасс» в 2019 году предусмотрено 4100,0 тыс</w:t>
      </w:r>
      <w:proofErr w:type="gramStart"/>
      <w:r w:rsidRPr="00D9563B">
        <w:t>.р</w:t>
      </w:r>
      <w:proofErr w:type="gramEnd"/>
      <w:r w:rsidRPr="00D9563B">
        <w:t xml:space="preserve">ублей. </w:t>
      </w:r>
    </w:p>
    <w:p w:rsidR="000019B1" w:rsidRPr="00D9563B" w:rsidRDefault="000019B1" w:rsidP="000019B1">
      <w:pPr>
        <w:ind w:firstLine="708"/>
        <w:jc w:val="both"/>
        <w:outlineLvl w:val="0"/>
      </w:pPr>
      <w:r w:rsidRPr="00D9563B">
        <w:t>Также на предоставление субсидий некоммерческим спортивным федерациям  на проведение соревнований, и (или) приобретение спортивной экипировки и инвентаря в 2019 году предусмотрено 300,0 тыс</w:t>
      </w:r>
      <w:proofErr w:type="gramStart"/>
      <w:r w:rsidRPr="00D9563B">
        <w:t>.р</w:t>
      </w:r>
      <w:proofErr w:type="gramEnd"/>
      <w:r w:rsidRPr="00D9563B">
        <w:t xml:space="preserve">ублей. </w:t>
      </w:r>
    </w:p>
    <w:p w:rsidR="000019B1" w:rsidRPr="00D9563B" w:rsidRDefault="000019B1" w:rsidP="000019B1">
      <w:pPr>
        <w:jc w:val="both"/>
        <w:outlineLvl w:val="0"/>
        <w:rPr>
          <w:sz w:val="8"/>
          <w:szCs w:val="8"/>
        </w:rPr>
      </w:pPr>
    </w:p>
    <w:p w:rsidR="000019B1" w:rsidRPr="00D9563B" w:rsidRDefault="000019B1" w:rsidP="000019B1">
      <w:pPr>
        <w:jc w:val="both"/>
        <w:rPr>
          <w:i/>
        </w:rPr>
      </w:pPr>
      <w:r w:rsidRPr="00D9563B">
        <w:rPr>
          <w:i/>
        </w:rPr>
        <w:t xml:space="preserve">2. </w:t>
      </w:r>
      <w:r w:rsidRPr="00D9563B">
        <w:rPr>
          <w:i/>
          <w:u w:val="single"/>
        </w:rPr>
        <w:t>Исаева Т.М.</w:t>
      </w:r>
      <w:r w:rsidRPr="00D9563B">
        <w:rPr>
          <w:i/>
        </w:rPr>
        <w:t xml:space="preserve"> сказала о том, что в городе не видно на площадках для сбора мусора новых контейнеров для сбора твердых коммунальных отходов, хотя в отчете указано о приобретении контейнеров в количестве 423 шт. на сумму 8 433,0 млн</w:t>
      </w:r>
      <w:proofErr w:type="gramStart"/>
      <w:r w:rsidRPr="00D9563B">
        <w:rPr>
          <w:i/>
        </w:rPr>
        <w:t>.р</w:t>
      </w:r>
      <w:proofErr w:type="gramEnd"/>
      <w:r w:rsidRPr="00D9563B">
        <w:rPr>
          <w:i/>
        </w:rPr>
        <w:t>ублей в рамках реализации национального проекта «Экология». Сказала о проблемах газификации в южной части города. Предположила, что при постройке газопровода денежные средства были использованы не рационально.</w:t>
      </w:r>
    </w:p>
    <w:p w:rsidR="000019B1" w:rsidRPr="00D9563B" w:rsidRDefault="000019B1" w:rsidP="000019B1">
      <w:pPr>
        <w:jc w:val="both"/>
      </w:pPr>
      <w:r w:rsidRPr="00D9563B">
        <w:t>ОТВЕТ:</w:t>
      </w:r>
    </w:p>
    <w:p w:rsidR="000019B1" w:rsidRPr="00D9563B" w:rsidRDefault="000019B1" w:rsidP="000019B1">
      <w:pPr>
        <w:ind w:firstLine="708"/>
        <w:jc w:val="both"/>
      </w:pPr>
      <w:r w:rsidRPr="00D9563B">
        <w:t>Контейнеры в количестве 423 штук приобретенные в рамках реализации национального проекта «Экология» на сумму 8 433,0 млн. рублей установлены:</w:t>
      </w:r>
    </w:p>
    <w:p w:rsidR="000019B1" w:rsidRPr="00D9563B" w:rsidRDefault="000019B1" w:rsidP="000019B1">
      <w:pPr>
        <w:jc w:val="both"/>
      </w:pPr>
      <w:r w:rsidRPr="00D9563B">
        <w:t>- евро контейнеры(1,1 куб.) в количестве 355 штук - в центральной части города;</w:t>
      </w:r>
    </w:p>
    <w:p w:rsidR="000019B1" w:rsidRPr="00D9563B" w:rsidRDefault="000019B1" w:rsidP="000019B1">
      <w:pPr>
        <w:jc w:val="both"/>
      </w:pPr>
      <w:r w:rsidRPr="00D9563B">
        <w:t xml:space="preserve">- евро контейнеры(1,1 куб.) в количестве 20 штук -  в </w:t>
      </w:r>
      <w:proofErr w:type="spellStart"/>
      <w:r w:rsidRPr="00D9563B">
        <w:t>п</w:t>
      </w:r>
      <w:proofErr w:type="gramStart"/>
      <w:r w:rsidRPr="00D9563B">
        <w:t>.Н</w:t>
      </w:r>
      <w:proofErr w:type="gramEnd"/>
      <w:r w:rsidRPr="00D9563B">
        <w:t>овотагилка</w:t>
      </w:r>
      <w:proofErr w:type="spellEnd"/>
      <w:r w:rsidRPr="00D9563B">
        <w:t>;</w:t>
      </w:r>
    </w:p>
    <w:p w:rsidR="000019B1" w:rsidRPr="00D9563B" w:rsidRDefault="000019B1" w:rsidP="000019B1">
      <w:pPr>
        <w:jc w:val="both"/>
      </w:pPr>
      <w:r w:rsidRPr="00D9563B">
        <w:t>- заглубленные контейнеры в количестве 15 штук - в центральной и северной частях города;</w:t>
      </w:r>
    </w:p>
    <w:p w:rsidR="000019B1" w:rsidRPr="00D9563B" w:rsidRDefault="000019B1" w:rsidP="000019B1">
      <w:pPr>
        <w:jc w:val="both"/>
      </w:pPr>
      <w:r w:rsidRPr="00D9563B">
        <w:t>- контейнеры (8 куб.) в количестве 33 штуки – во всех частях Миасского городского округа.</w:t>
      </w:r>
    </w:p>
    <w:p w:rsidR="000019B1" w:rsidRPr="00D9563B" w:rsidRDefault="000019B1" w:rsidP="000019B1">
      <w:pPr>
        <w:jc w:val="both"/>
        <w:rPr>
          <w:sz w:val="8"/>
          <w:szCs w:val="8"/>
        </w:rPr>
      </w:pPr>
    </w:p>
    <w:p w:rsidR="000019B1" w:rsidRPr="00D9563B" w:rsidRDefault="000019B1" w:rsidP="000019B1">
      <w:pPr>
        <w:keepNext/>
        <w:keepLines/>
        <w:shd w:val="clear" w:color="auto" w:fill="FFFFFF"/>
        <w:ind w:firstLine="708"/>
        <w:jc w:val="both"/>
        <w:textAlignment w:val="baseline"/>
        <w:outlineLvl w:val="0"/>
        <w:rPr>
          <w:rFonts w:eastAsiaTheme="majorEastAsia"/>
          <w:spacing w:val="2"/>
          <w:shd w:val="clear" w:color="auto" w:fill="FFFFFF"/>
        </w:rPr>
      </w:pPr>
      <w:r w:rsidRPr="00D9563B">
        <w:rPr>
          <w:rFonts w:eastAsiaTheme="majorEastAsia"/>
          <w:spacing w:val="2"/>
          <w:shd w:val="clear" w:color="auto" w:fill="FFFFFF"/>
        </w:rPr>
        <w:t xml:space="preserve">Согласно </w:t>
      </w:r>
      <w:proofErr w:type="spellStart"/>
      <w:proofErr w:type="gramStart"/>
      <w:r w:rsidRPr="00D9563B">
        <w:rPr>
          <w:rFonts w:eastAsiaTheme="majorEastAsia"/>
          <w:spacing w:val="2"/>
          <w:shd w:val="clear" w:color="auto" w:fill="FFFFFF"/>
        </w:rPr>
        <w:t>п</w:t>
      </w:r>
      <w:proofErr w:type="spellEnd"/>
      <w:proofErr w:type="gramEnd"/>
      <w:r w:rsidRPr="00D9563B">
        <w:rPr>
          <w:rFonts w:eastAsiaTheme="majorEastAsia"/>
          <w:spacing w:val="2"/>
          <w:shd w:val="clear" w:color="auto" w:fill="FFFFFF"/>
        </w:rPr>
        <w:t xml:space="preserve"> 4.7 </w:t>
      </w:r>
      <w:r w:rsidRPr="00D9563B">
        <w:rPr>
          <w:rFonts w:eastAsiaTheme="majorEastAsia"/>
          <w:spacing w:val="2"/>
        </w:rPr>
        <w:t xml:space="preserve">СП 42-101-2003 «Общие положения по проектированию и строительству газораспределительных систем из металлических и полиэтиленовых труб» </w:t>
      </w:r>
      <w:r w:rsidRPr="00D9563B">
        <w:rPr>
          <w:rFonts w:eastAsiaTheme="majorEastAsia"/>
          <w:spacing w:val="2"/>
          <w:shd w:val="clear" w:color="auto" w:fill="FFFFFF"/>
        </w:rPr>
        <w:t xml:space="preserve">на территории поселений прокладка газопроводов предусматривается преимущественно </w:t>
      </w:r>
      <w:r w:rsidRPr="00D9563B">
        <w:rPr>
          <w:rFonts w:eastAsiaTheme="majorEastAsia"/>
          <w:b/>
          <w:spacing w:val="2"/>
          <w:shd w:val="clear" w:color="auto" w:fill="FFFFFF"/>
        </w:rPr>
        <w:t>подземной</w:t>
      </w:r>
      <w:r w:rsidRPr="00D9563B">
        <w:rPr>
          <w:rFonts w:eastAsiaTheme="majorEastAsia"/>
          <w:spacing w:val="2"/>
          <w:shd w:val="clear" w:color="auto" w:fill="FFFFFF"/>
        </w:rPr>
        <w:t xml:space="preserve">, в соответствии с требованиями </w:t>
      </w:r>
      <w:hyperlink r:id="rId10" w:history="1">
        <w:r w:rsidRPr="00D9563B">
          <w:rPr>
            <w:rFonts w:eastAsiaTheme="majorEastAsia"/>
            <w:spacing w:val="2"/>
            <w:u w:val="single"/>
            <w:shd w:val="clear" w:color="auto" w:fill="FFFFFF"/>
          </w:rPr>
          <w:t>СНиП2.07.01</w:t>
        </w:r>
      </w:hyperlink>
      <w:r w:rsidRPr="00D9563B">
        <w:rPr>
          <w:rFonts w:eastAsiaTheme="majorEastAsia"/>
          <w:spacing w:val="2"/>
          <w:shd w:val="clear" w:color="auto" w:fill="FFFFFF"/>
        </w:rPr>
        <w:t>. Прокладка надземного газопровода осуществляется при техническом обосновании, которое составляется проектной организацией исходя из сложившихся архитектурно-планировочных, грунтовых и других условий района строительства. Способ прокладки определяется проектными решениями, получившими положительное заключение государственной экспертизы на основании выполненных инженерных изысканий. Вопрос стоимости строительства в данном случае не является основополагающим.</w:t>
      </w:r>
    </w:p>
    <w:p w:rsidR="000019B1" w:rsidRPr="00D9563B" w:rsidRDefault="000019B1" w:rsidP="000019B1">
      <w:pPr>
        <w:keepNext/>
        <w:keepLines/>
        <w:shd w:val="clear" w:color="auto" w:fill="FFFFFF"/>
        <w:ind w:firstLine="708"/>
        <w:jc w:val="both"/>
        <w:textAlignment w:val="baseline"/>
        <w:outlineLvl w:val="0"/>
        <w:rPr>
          <w:rFonts w:eastAsiaTheme="majorEastAsia"/>
        </w:rPr>
      </w:pPr>
      <w:r w:rsidRPr="00D9563B">
        <w:rPr>
          <w:rFonts w:eastAsiaTheme="majorEastAsia"/>
          <w:spacing w:val="2"/>
          <w:shd w:val="clear" w:color="auto" w:fill="FFFFFF"/>
        </w:rPr>
        <w:t xml:space="preserve">Финансирование строительства газопроводов осуществляется </w:t>
      </w:r>
      <w:r w:rsidRPr="00D9563B">
        <w:rPr>
          <w:rFonts w:eastAsiaTheme="majorEastAsia"/>
        </w:rPr>
        <w:t xml:space="preserve">из </w:t>
      </w:r>
      <w:r w:rsidRPr="00D9563B">
        <w:rPr>
          <w:rFonts w:eastAsiaTheme="majorEastAsia"/>
          <w:b/>
        </w:rPr>
        <w:t>областного бюджета</w:t>
      </w:r>
      <w:r w:rsidRPr="00D9563B">
        <w:rPr>
          <w:rFonts w:eastAsiaTheme="majorEastAsia"/>
        </w:rPr>
        <w:t xml:space="preserve"> в рамках доведенных лимитов бюджетных обязательств на предоставление субсидий местным бюджетам с обязательным условием </w:t>
      </w:r>
      <w:proofErr w:type="spellStart"/>
      <w:r w:rsidRPr="00D9563B">
        <w:rPr>
          <w:rFonts w:eastAsiaTheme="majorEastAsia"/>
        </w:rPr>
        <w:t>софинансирования</w:t>
      </w:r>
      <w:proofErr w:type="spellEnd"/>
      <w:r w:rsidRPr="00D9563B">
        <w:rPr>
          <w:rFonts w:eastAsiaTheme="majorEastAsia"/>
        </w:rPr>
        <w:t xml:space="preserve"> из местного бюджета.</w:t>
      </w:r>
    </w:p>
    <w:p w:rsidR="000019B1" w:rsidRPr="00D9563B" w:rsidRDefault="000019B1" w:rsidP="000019B1">
      <w:pPr>
        <w:jc w:val="both"/>
      </w:pPr>
      <w:r w:rsidRPr="00D9563B">
        <w:t xml:space="preserve">            Ежегодно подается заявка в Министерство строительство и инфраструктуры Челябинской области  о потребности в бюджетных средствах на строительство газопроводов на территории Миасского городского округа. </w:t>
      </w:r>
      <w:proofErr w:type="gramStart"/>
      <w:r w:rsidRPr="00D9563B">
        <w:t xml:space="preserve">К заявке прикладывается  проектно- сметная документация (сделанная и оплаченная за счет средств населения с  положительным заключение </w:t>
      </w:r>
      <w:proofErr w:type="spellStart"/>
      <w:r w:rsidRPr="00D9563B">
        <w:t>Госэкспертизы</w:t>
      </w:r>
      <w:proofErr w:type="spellEnd"/>
      <w:r w:rsidRPr="00D9563B">
        <w:t>).</w:t>
      </w:r>
      <w:proofErr w:type="gramEnd"/>
      <w:r w:rsidRPr="00D9563B">
        <w:t xml:space="preserve"> В настоящее время подписано Соглашение с Министерством строительства и инфраструктуры Челябинской области на три года.</w:t>
      </w:r>
    </w:p>
    <w:p w:rsidR="000019B1" w:rsidRPr="00D9563B" w:rsidRDefault="000019B1" w:rsidP="000019B1">
      <w:pPr>
        <w:ind w:firstLine="709"/>
        <w:jc w:val="both"/>
      </w:pPr>
      <w:r w:rsidRPr="00D9563B">
        <w:t>Газоснабжение жилых домов в районе улицы Болотной полностью восстановлено.</w:t>
      </w:r>
    </w:p>
    <w:p w:rsidR="000019B1" w:rsidRPr="00D9563B" w:rsidRDefault="000019B1" w:rsidP="000019B1">
      <w:pPr>
        <w:jc w:val="both"/>
        <w:rPr>
          <w:sz w:val="8"/>
          <w:szCs w:val="8"/>
        </w:rPr>
      </w:pPr>
    </w:p>
    <w:p w:rsidR="000019B1" w:rsidRPr="00D9563B" w:rsidRDefault="000019B1" w:rsidP="000019B1">
      <w:pPr>
        <w:jc w:val="both"/>
        <w:rPr>
          <w:i/>
        </w:rPr>
      </w:pPr>
      <w:r w:rsidRPr="00D9563B">
        <w:rPr>
          <w:i/>
          <w:u w:val="single"/>
        </w:rPr>
        <w:t>3.Старцева А.Е</w:t>
      </w:r>
      <w:r w:rsidRPr="00D9563B">
        <w:rPr>
          <w:i/>
        </w:rPr>
        <w:t xml:space="preserve">. выразила согласие с Исаевой Т.М. по проблеме газификации в южной части города. Сказала, что не была учтена специфика земли при прокладке газопровода. Отметила, что после ремонтных работ на газопроводе, необходима отсыпка дорог, которая  в настоящее время осуществляется за счет денежных средств жителей и депутатов. Предложила внести в бюджет МГО на 2021 год статью расходов по отсыпке дорог и вывести газовые трубы на поверхность земли. Сказала о проблеме с маршрутным транспортом в частном секторе южной части города. </w:t>
      </w:r>
    </w:p>
    <w:p w:rsidR="000019B1" w:rsidRPr="00D9563B" w:rsidRDefault="000019B1" w:rsidP="000019B1">
      <w:pPr>
        <w:ind w:firstLine="708"/>
        <w:jc w:val="both"/>
        <w:rPr>
          <w:shd w:val="clear" w:color="auto" w:fill="FFFFFF"/>
        </w:rPr>
      </w:pPr>
      <w:r w:rsidRPr="00D9563B">
        <w:t>ОТВЕТ:</w:t>
      </w:r>
      <w:r w:rsidRPr="00D9563B">
        <w:rPr>
          <w:shd w:val="clear" w:color="auto" w:fill="FFFFFF"/>
        </w:rPr>
        <w:t xml:space="preserve"> </w:t>
      </w:r>
    </w:p>
    <w:p w:rsidR="000019B1" w:rsidRPr="00D9563B" w:rsidRDefault="000019B1" w:rsidP="000019B1">
      <w:pPr>
        <w:ind w:firstLine="709"/>
        <w:jc w:val="both"/>
      </w:pPr>
      <w:r w:rsidRPr="00D9563B">
        <w:t>Восстановление благоустройства после выполнения ремонтных работ на инженерных сетях предусмотрено в объеме выполняемых работ.</w:t>
      </w:r>
    </w:p>
    <w:p w:rsidR="000019B1" w:rsidRPr="00D9563B" w:rsidRDefault="000019B1" w:rsidP="000019B1">
      <w:pPr>
        <w:ind w:firstLine="708"/>
        <w:jc w:val="both"/>
      </w:pPr>
      <w:r w:rsidRPr="00D9563B">
        <w:rPr>
          <w:shd w:val="clear" w:color="auto" w:fill="FFFFFF"/>
        </w:rPr>
        <w:t>Смена способа прокладки сети газораспределения (</w:t>
      </w:r>
      <w:proofErr w:type="gramStart"/>
      <w:r w:rsidRPr="00D9563B">
        <w:rPr>
          <w:shd w:val="clear" w:color="auto" w:fill="FFFFFF"/>
        </w:rPr>
        <w:t>подземный</w:t>
      </w:r>
      <w:proofErr w:type="gramEnd"/>
      <w:r w:rsidRPr="00D9563B">
        <w:rPr>
          <w:shd w:val="clear" w:color="auto" w:fill="FFFFFF"/>
        </w:rPr>
        <w:t xml:space="preserve"> на надземный) является реконструкцией газопровода, для которой требуется разработка проектно-сметной документации, получение положительного заключения государственной экспертизы и определение источника финансирования выполнения строительно-монтажных работ.</w:t>
      </w:r>
    </w:p>
    <w:p w:rsidR="000019B1" w:rsidRPr="00D9563B" w:rsidRDefault="000019B1" w:rsidP="000019B1">
      <w:pPr>
        <w:ind w:firstLine="709"/>
        <w:jc w:val="both"/>
      </w:pPr>
      <w:r w:rsidRPr="00D9563B">
        <w:t xml:space="preserve">Для включения маршрута до Керамического завода в реестр муниципальных маршрутов регулярных перевозок Миасского городского округа и для организации безопасных перевозок пассажиров по маршруту до Керамического завода необходимо, чтобы дорога до вышеуказанного пункта соответствовала требованиям для  осуществления пассажирских перевозок. </w:t>
      </w:r>
    </w:p>
    <w:p w:rsidR="000019B1" w:rsidRPr="00D9563B" w:rsidRDefault="000019B1" w:rsidP="000019B1">
      <w:pPr>
        <w:ind w:firstLine="709"/>
        <w:jc w:val="both"/>
      </w:pPr>
      <w:proofErr w:type="gramStart"/>
      <w:r w:rsidRPr="00D9563B">
        <w:t>Согласно Приказу Министерства транспорта РФ от 15 января 2014 г.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 маршруты регулярных перевозок пассажиров</w:t>
      </w:r>
      <w:proofErr w:type="gramEnd"/>
      <w:r w:rsidRPr="00D9563B">
        <w:t xml:space="preserve"> автобусами организуются на автомобильных дорогах I - IV категорий, то есть ширина покрытия должна быть не менее 6 м, обочины 1,5 м. Имеющаяся в настоящее время ширина дорожного полотна ограничена близстоящими домами и нежилыми застройками. </w:t>
      </w:r>
    </w:p>
    <w:p w:rsidR="000019B1" w:rsidRPr="00D9563B" w:rsidRDefault="000019B1" w:rsidP="000019B1">
      <w:pPr>
        <w:ind w:firstLine="709"/>
        <w:jc w:val="both"/>
      </w:pPr>
      <w:r w:rsidRPr="00D9563B">
        <w:t>Также требуется устройство остановочной и посадочной площадки, разворотной площадки. На участках дорог в пределах населенных пунктов должны быть тротуары, размещённые, как правило, за пределами земляного полотна. То есть существующее состояние автомобильной дороги не позволяет обеспечить безопасность регулярных пассажирских перевозок и открыть маршрут до Керамического завода.</w:t>
      </w:r>
    </w:p>
    <w:p w:rsidR="000019B1" w:rsidRPr="00D9563B" w:rsidRDefault="000019B1" w:rsidP="000019B1">
      <w:pPr>
        <w:jc w:val="both"/>
      </w:pPr>
    </w:p>
    <w:p w:rsidR="00AB6922" w:rsidRPr="009B6B53" w:rsidRDefault="00AB6922" w:rsidP="00AB6922">
      <w:pPr>
        <w:jc w:val="both"/>
      </w:pPr>
    </w:p>
    <w:p w:rsidR="00AB6922" w:rsidRPr="00337DFA" w:rsidRDefault="00AB6922" w:rsidP="00AB6922">
      <w:pPr>
        <w:jc w:val="both"/>
      </w:pPr>
    </w:p>
    <w:p w:rsidR="003D4571" w:rsidRPr="00337DFA" w:rsidRDefault="003D4571" w:rsidP="003D4571">
      <w:pPr>
        <w:jc w:val="both"/>
      </w:pPr>
    </w:p>
    <w:sectPr w:rsidR="003D4571" w:rsidRPr="00337DFA" w:rsidSect="001424FC">
      <w:headerReference w:type="default" r:id="rId11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53" w:rsidRDefault="009B6B53" w:rsidP="0006295D">
      <w:r>
        <w:separator/>
      </w:r>
    </w:p>
  </w:endnote>
  <w:endnote w:type="continuationSeparator" w:id="0">
    <w:p w:rsidR="009B6B53" w:rsidRDefault="009B6B53" w:rsidP="0006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53" w:rsidRDefault="009B6B53" w:rsidP="0006295D">
      <w:r>
        <w:separator/>
      </w:r>
    </w:p>
  </w:footnote>
  <w:footnote w:type="continuationSeparator" w:id="0">
    <w:p w:rsidR="009B6B53" w:rsidRDefault="009B6B53" w:rsidP="0006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10"/>
      <w:docPartObj>
        <w:docPartGallery w:val="Page Numbers (Top of Page)"/>
        <w:docPartUnique/>
      </w:docPartObj>
    </w:sdtPr>
    <w:sdtContent>
      <w:p w:rsidR="009B6B53" w:rsidRDefault="00842197">
        <w:pPr>
          <w:pStyle w:val="a7"/>
          <w:jc w:val="center"/>
        </w:pPr>
        <w:fldSimple w:instr=" PAGE   \* MERGEFORMAT ">
          <w:r w:rsidR="000019B1">
            <w:rPr>
              <w:noProof/>
            </w:rPr>
            <w:t>2</w:t>
          </w:r>
        </w:fldSimple>
      </w:p>
    </w:sdtContent>
  </w:sdt>
  <w:p w:rsidR="009B6B53" w:rsidRDefault="009B6B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749"/>
    <w:multiLevelType w:val="multilevel"/>
    <w:tmpl w:val="E74852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36B157BD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B5AC3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E8"/>
    <w:rsid w:val="000019B1"/>
    <w:rsid w:val="0006295D"/>
    <w:rsid w:val="00070CFA"/>
    <w:rsid w:val="000E3B99"/>
    <w:rsid w:val="000E6625"/>
    <w:rsid w:val="00106B94"/>
    <w:rsid w:val="00130595"/>
    <w:rsid w:val="001414E0"/>
    <w:rsid w:val="001424FC"/>
    <w:rsid w:val="00165508"/>
    <w:rsid w:val="001B0E28"/>
    <w:rsid w:val="001B3F45"/>
    <w:rsid w:val="001D78C9"/>
    <w:rsid w:val="001D7DE8"/>
    <w:rsid w:val="001F09C0"/>
    <w:rsid w:val="00242F0E"/>
    <w:rsid w:val="00270E78"/>
    <w:rsid w:val="002A35A7"/>
    <w:rsid w:val="002B4AC5"/>
    <w:rsid w:val="002C6481"/>
    <w:rsid w:val="002C7272"/>
    <w:rsid w:val="002D6FA0"/>
    <w:rsid w:val="00337DFA"/>
    <w:rsid w:val="00366844"/>
    <w:rsid w:val="003908A5"/>
    <w:rsid w:val="003A0DEA"/>
    <w:rsid w:val="003A55BC"/>
    <w:rsid w:val="003A74F4"/>
    <w:rsid w:val="003B3358"/>
    <w:rsid w:val="003B7EBE"/>
    <w:rsid w:val="003D4571"/>
    <w:rsid w:val="003D6AE7"/>
    <w:rsid w:val="003E3E0C"/>
    <w:rsid w:val="0040599F"/>
    <w:rsid w:val="00415007"/>
    <w:rsid w:val="00464B68"/>
    <w:rsid w:val="0047292D"/>
    <w:rsid w:val="004957C2"/>
    <w:rsid w:val="004A095C"/>
    <w:rsid w:val="004B62F2"/>
    <w:rsid w:val="004C138B"/>
    <w:rsid w:val="004C3392"/>
    <w:rsid w:val="00514F53"/>
    <w:rsid w:val="00573232"/>
    <w:rsid w:val="005A3474"/>
    <w:rsid w:val="005F46F1"/>
    <w:rsid w:val="00627849"/>
    <w:rsid w:val="00645A47"/>
    <w:rsid w:val="00670909"/>
    <w:rsid w:val="006752F3"/>
    <w:rsid w:val="0069094A"/>
    <w:rsid w:val="006B58CB"/>
    <w:rsid w:val="006C7B90"/>
    <w:rsid w:val="006E11BD"/>
    <w:rsid w:val="00706A0B"/>
    <w:rsid w:val="007204FD"/>
    <w:rsid w:val="00722184"/>
    <w:rsid w:val="00750058"/>
    <w:rsid w:val="00780FBB"/>
    <w:rsid w:val="007817AD"/>
    <w:rsid w:val="0079561E"/>
    <w:rsid w:val="007D06A8"/>
    <w:rsid w:val="007E5D92"/>
    <w:rsid w:val="00827363"/>
    <w:rsid w:val="00842197"/>
    <w:rsid w:val="00863D0D"/>
    <w:rsid w:val="00884F1E"/>
    <w:rsid w:val="008863EC"/>
    <w:rsid w:val="008B0AB4"/>
    <w:rsid w:val="008C2A98"/>
    <w:rsid w:val="008D3D65"/>
    <w:rsid w:val="008E5C26"/>
    <w:rsid w:val="0092541F"/>
    <w:rsid w:val="00935367"/>
    <w:rsid w:val="00950106"/>
    <w:rsid w:val="0095447D"/>
    <w:rsid w:val="0099186D"/>
    <w:rsid w:val="00994F88"/>
    <w:rsid w:val="009B1B9A"/>
    <w:rsid w:val="009B6B53"/>
    <w:rsid w:val="009E50F5"/>
    <w:rsid w:val="009F49A9"/>
    <w:rsid w:val="00A07871"/>
    <w:rsid w:val="00A113AD"/>
    <w:rsid w:val="00A429F3"/>
    <w:rsid w:val="00A44B15"/>
    <w:rsid w:val="00A469C6"/>
    <w:rsid w:val="00A61D26"/>
    <w:rsid w:val="00A63EFB"/>
    <w:rsid w:val="00AA68BC"/>
    <w:rsid w:val="00AB6922"/>
    <w:rsid w:val="00AB7FBA"/>
    <w:rsid w:val="00AE1D22"/>
    <w:rsid w:val="00B05F58"/>
    <w:rsid w:val="00BD2C2A"/>
    <w:rsid w:val="00BD53E1"/>
    <w:rsid w:val="00C124C5"/>
    <w:rsid w:val="00C5531C"/>
    <w:rsid w:val="00C635D1"/>
    <w:rsid w:val="00C86650"/>
    <w:rsid w:val="00C977EB"/>
    <w:rsid w:val="00CB0DBD"/>
    <w:rsid w:val="00CC600F"/>
    <w:rsid w:val="00CD4ED5"/>
    <w:rsid w:val="00CE400C"/>
    <w:rsid w:val="00D51FE9"/>
    <w:rsid w:val="00D758A4"/>
    <w:rsid w:val="00D76C50"/>
    <w:rsid w:val="00D94FC8"/>
    <w:rsid w:val="00D9520D"/>
    <w:rsid w:val="00DB7E31"/>
    <w:rsid w:val="00DE6396"/>
    <w:rsid w:val="00DE6ADA"/>
    <w:rsid w:val="00E112C2"/>
    <w:rsid w:val="00E46E14"/>
    <w:rsid w:val="00E46F64"/>
    <w:rsid w:val="00E73061"/>
    <w:rsid w:val="00EB5CD0"/>
    <w:rsid w:val="00EB62A4"/>
    <w:rsid w:val="00EC063C"/>
    <w:rsid w:val="00F03EF3"/>
    <w:rsid w:val="00F433D8"/>
    <w:rsid w:val="00F67025"/>
    <w:rsid w:val="00F93ADE"/>
    <w:rsid w:val="00FE7146"/>
    <w:rsid w:val="00FF0416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9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">
    <w:name w:val="Основной текст (2)_"/>
    <w:link w:val="20"/>
    <w:rsid w:val="00DB7E31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1">
    <w:name w:val="Body Text 2"/>
    <w:basedOn w:val="a"/>
    <w:link w:val="22"/>
    <w:rsid w:val="00DB7E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69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">
    <w:name w:val="Основной текст (2)_"/>
    <w:link w:val="20"/>
    <w:rsid w:val="00DB7E31"/>
    <w:rPr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1">
    <w:name w:val="Body Text 2"/>
    <w:basedOn w:val="a"/>
    <w:link w:val="22"/>
    <w:rsid w:val="00DB7E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iPriority w:val="99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-mia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200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20016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C9CB9-A09B-4C37-8AB5-D228A06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Иван Дмитриевич</dc:creator>
  <cp:lastModifiedBy>Julia</cp:lastModifiedBy>
  <cp:revision>20</cp:revision>
  <cp:lastPrinted>2020-11-23T12:26:00Z</cp:lastPrinted>
  <dcterms:created xsi:type="dcterms:W3CDTF">2020-11-18T05:45:00Z</dcterms:created>
  <dcterms:modified xsi:type="dcterms:W3CDTF">2020-11-23T12:27:00Z</dcterms:modified>
</cp:coreProperties>
</file>