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C" w:rsidRPr="0079173C" w:rsidRDefault="00693013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</w:t>
      </w:r>
      <w:r w:rsidR="0079173C"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 </w:t>
      </w:r>
      <w:proofErr w:type="gramStart"/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</w:t>
      </w:r>
      <w:proofErr w:type="gramEnd"/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Р О Е К Т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       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РЕКОМЕНДАЦИИ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публичных слушаний по проекту  решения Собрания депутатов Миасского городского округа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«Об исполнении бюджета Миасского городского округа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за 20</w:t>
      </w:r>
      <w:r w:rsidR="0051439B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2</w:t>
      </w:r>
      <w:r w:rsidR="00204F51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2</w:t>
      </w: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год»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E168A6" w:rsidP="0079173C">
      <w:pPr>
        <w:widowControl w:val="0"/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204F51">
        <w:rPr>
          <w:rFonts w:ascii="Times New Roman" w:eastAsia="Times New Roman" w:hAnsi="Times New Roman" w:cs="Times New Roman"/>
          <w:spacing w:val="20"/>
          <w:sz w:val="26"/>
          <w:szCs w:val="26"/>
        </w:rPr>
        <w:t>23</w:t>
      </w:r>
      <w:r w:rsidR="003A5D2A">
        <w:rPr>
          <w:rFonts w:ascii="Times New Roman" w:eastAsia="Times New Roman" w:hAnsi="Times New Roman" w:cs="Times New Roman"/>
          <w:spacing w:val="20"/>
          <w:sz w:val="26"/>
          <w:szCs w:val="26"/>
        </w:rPr>
        <w:t>.0</w:t>
      </w:r>
      <w:r w:rsidR="00204F51">
        <w:rPr>
          <w:rFonts w:ascii="Times New Roman" w:eastAsia="Times New Roman" w:hAnsi="Times New Roman" w:cs="Times New Roman"/>
          <w:spacing w:val="20"/>
          <w:sz w:val="26"/>
          <w:szCs w:val="26"/>
        </w:rPr>
        <w:t>3</w:t>
      </w:r>
      <w:r w:rsidR="003A5D2A">
        <w:rPr>
          <w:rFonts w:ascii="Times New Roman" w:eastAsia="Times New Roman" w:hAnsi="Times New Roman" w:cs="Times New Roman"/>
          <w:spacing w:val="20"/>
          <w:sz w:val="26"/>
          <w:szCs w:val="26"/>
        </w:rPr>
        <w:t>.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>20</w:t>
      </w:r>
      <w:r w:rsidR="0079173C">
        <w:rPr>
          <w:rFonts w:ascii="Times New Roman" w:eastAsia="Times New Roman" w:hAnsi="Times New Roman" w:cs="Times New Roman"/>
          <w:spacing w:val="20"/>
          <w:sz w:val="26"/>
          <w:szCs w:val="26"/>
        </w:rPr>
        <w:t>2</w:t>
      </w:r>
      <w:r w:rsidR="00204F51">
        <w:rPr>
          <w:rFonts w:ascii="Times New Roman" w:eastAsia="Times New Roman" w:hAnsi="Times New Roman" w:cs="Times New Roman"/>
          <w:spacing w:val="20"/>
          <w:sz w:val="26"/>
          <w:szCs w:val="26"/>
        </w:rPr>
        <w:t>3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>г</w:t>
      </w:r>
      <w:r w:rsidR="003A5D2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.        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</w:t>
      </w:r>
      <w:r w:rsidR="00E227A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Миасс</w:t>
      </w:r>
      <w:r w:rsidR="0079173C" w:rsidRPr="0079173C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    </w:t>
      </w:r>
    </w:p>
    <w:p w:rsidR="00DC4429" w:rsidRDefault="00DC4429" w:rsidP="00791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603CAB" w:rsidRDefault="00603CAB" w:rsidP="00791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176081" w:rsidRPr="00AA0260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Участники публичных слушаний, рассмотрев проект </w:t>
      </w:r>
      <w:r w:rsidRPr="00AA026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решения Собрания депутатов Миасского городского округа  </w:t>
      </w:r>
      <w:r w:rsidRPr="00AA0260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>«Об исполнении бюджета Миасского городского округа  за 20</w:t>
      </w:r>
      <w:r w:rsidR="00176081" w:rsidRPr="00AA0260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>2</w:t>
      </w:r>
      <w:r w:rsidR="00AA0260" w:rsidRPr="00AA0260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>2</w:t>
      </w:r>
      <w:r w:rsidRPr="00AA0260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 xml:space="preserve"> год»</w:t>
      </w: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отмечают, </w:t>
      </w:r>
      <w:r w:rsidR="00DC4429" w:rsidRPr="00AA02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что </w:t>
      </w:r>
      <w:r w:rsidR="0021441E" w:rsidRPr="00AA02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</w:t>
      </w: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</w:t>
      </w:r>
      <w:r w:rsidR="00176081" w:rsidRPr="00AA02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AA0260" w:rsidRPr="00AA02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году бюджетная и налоговая политика Миасского городского округа была направлена на </w:t>
      </w:r>
      <w:r w:rsidR="00176081" w:rsidRPr="00AA02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повышение эффективности и качества управления муниципальными финансами, повышение уровня собственных доходов и результативности бюджетных расходов.</w:t>
      </w:r>
    </w:p>
    <w:p w:rsidR="00DE3937" w:rsidRPr="007F4E3D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A026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Общий объем поступлений доходов бюджета Округа за 20</w:t>
      </w:r>
      <w:r w:rsidR="0082433E" w:rsidRPr="00AA026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2</w:t>
      </w:r>
      <w:r w:rsidR="00AA0260" w:rsidRPr="00AA026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2</w:t>
      </w:r>
      <w:r w:rsidRPr="00AA026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год </w:t>
      </w:r>
      <w:r w:rsidR="00DE3937" w:rsidRPr="00AA026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составил</w:t>
      </w:r>
      <w:r w:rsidRPr="00AA026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210561"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</w:t>
      </w:r>
      <w:r w:rsidR="00F27B4B"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млрд.</w:t>
      </w:r>
      <w:r w:rsidR="00F27B4B"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968</w:t>
      </w:r>
      <w:r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942553"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</w:t>
      </w:r>
      <w:r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рублей, при уточненных бюджетных назначениях </w:t>
      </w:r>
      <w:r w:rsidR="00F27B4B"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</w:t>
      </w:r>
      <w:r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F27B4B"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049</w:t>
      </w:r>
      <w:r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F13591"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</w:t>
      </w:r>
      <w:r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рублей, или </w:t>
      </w:r>
      <w:r w:rsidR="00F27B4B"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 99,0 </w:t>
      </w:r>
      <w:r w:rsidRPr="007F4E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%.</w:t>
      </w:r>
    </w:p>
    <w:p w:rsidR="0079173C" w:rsidRPr="007F4E3D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7F4E3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Доходная часть бюджета </w:t>
      </w:r>
      <w:r w:rsidR="00E86B2A" w:rsidRPr="007F4E3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</w:t>
      </w:r>
      <w:r w:rsidRPr="007F4E3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круга сформирована на </w:t>
      </w:r>
      <w:r w:rsidR="007F4E3D" w:rsidRP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71,5</w:t>
      </w:r>
      <w:r w:rsidRP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%</w:t>
      </w:r>
      <w:r w:rsidRPr="007F4E3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за счет безвозмездных поступлений, а также  поступлений налоговых и неналоговых доходов на </w:t>
      </w:r>
      <w:r w:rsidR="007F4E3D" w:rsidRP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28,5</w:t>
      </w:r>
      <w:r w:rsidRP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%.</w:t>
      </w:r>
    </w:p>
    <w:p w:rsidR="00DB7687" w:rsidRPr="007F4E3D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7F4E3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Безвозмездные поступления в бюджет Округа получены  в объеме  </w:t>
      </w:r>
      <w:r w:rsid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5</w:t>
      </w:r>
      <w:r w:rsidRP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</w:t>
      </w:r>
      <w:r w:rsid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69</w:t>
      </w:r>
      <w:r w:rsidR="00E251C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7</w:t>
      </w:r>
      <w:r w:rsidRP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5</w:t>
      </w:r>
      <w:r w:rsidRPr="007F4E3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Pr="007F4E3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 в том числе:</w:t>
      </w:r>
    </w:p>
    <w:p w:rsidR="00DB7687" w:rsidRPr="00F32398" w:rsidRDefault="00DB7687" w:rsidP="00A521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proofErr w:type="gramStart"/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- из областного бюджета (с учетом возвратов) в сумме</w:t>
      </w:r>
      <w:r w:rsidR="00DE3937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3B08E8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813E47" w:rsidRPr="00F3239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5</w:t>
      </w:r>
      <w:r w:rsidR="003B08E8" w:rsidRPr="00F3239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</w:t>
      </w:r>
      <w:r w:rsidR="00DE3937" w:rsidRPr="00F3239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</w:t>
      </w:r>
      <w:r w:rsidR="00813E47" w:rsidRPr="00F3239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696</w:t>
      </w:r>
      <w:r w:rsidR="003B08E8" w:rsidRPr="00F3239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,3 млн. рублей</w:t>
      </w:r>
      <w:r w:rsidR="003B08E8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(дотации – </w:t>
      </w:r>
      <w:r w:rsidR="00813E47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692</w:t>
      </w:r>
      <w:r w:rsidR="00081AF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</w:t>
      </w:r>
      <w:r w:rsidR="00813E47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081AF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. рублей, субсидии  </w:t>
      </w:r>
      <w:r w:rsidR="00A5210A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-</w:t>
      </w:r>
      <w:r w:rsidR="00813E47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2 млрд.192,6  млн. рублей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субвенции – </w:t>
      </w:r>
      <w:r w:rsidR="00081AF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 млрд.</w:t>
      </w:r>
      <w:r w:rsidR="00813E47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7231</w:t>
      </w:r>
      <w:r w:rsidR="00081AF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813E47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081AF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иные межбюджетные трансферты – </w:t>
      </w:r>
      <w:r w:rsidR="00813E47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88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813E47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6E0F1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млн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 рублей);</w:t>
      </w:r>
      <w:proofErr w:type="gramEnd"/>
    </w:p>
    <w:p w:rsidR="00DB7687" w:rsidRPr="00F32398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- от негосударственных организаций в сумме </w:t>
      </w:r>
      <w:r w:rsidR="00E251C1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6E0F1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E251C1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6E0F1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6E0F1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млн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 рублей;</w:t>
      </w:r>
    </w:p>
    <w:p w:rsidR="00DB7687" w:rsidRPr="00F32398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-  прочи</w:t>
      </w:r>
      <w:r w:rsidR="009B19AF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е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поступлени</w:t>
      </w:r>
      <w:r w:rsidR="009B19AF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я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в сумме </w:t>
      </w:r>
      <w:r w:rsidR="006E0F1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0,0</w:t>
      </w:r>
      <w:r w:rsidR="00A5210A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8</w:t>
      </w:r>
      <w:r w:rsidR="006E0F14"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</w:t>
      </w:r>
      <w:r w:rsidRPr="00F3239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рублей.</w:t>
      </w:r>
    </w:p>
    <w:p w:rsidR="0079173C" w:rsidRPr="00467674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Налоговых и неналоговых доходов за 20</w:t>
      </w:r>
      <w:r w:rsidR="00693013"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="00A5210A"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год поступило в бюджет Округа </w:t>
      </w:r>
      <w:r w:rsidR="00221E8D"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</w:t>
      </w:r>
      <w:r w:rsidR="00221E8D"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271</w:t>
      </w:r>
      <w:r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221E8D"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3</w:t>
      </w:r>
      <w:r w:rsidRPr="00221E8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Pr="00221E8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 при годовых уточненных бюджетных назначениях</w:t>
      </w:r>
      <w:r w:rsidRPr="00204F51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="00221E8D" w:rsidRPr="00221E8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Pr="00221E8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млрд. </w:t>
      </w:r>
      <w:r w:rsidR="00221E8D" w:rsidRPr="00221E8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160</w:t>
      </w:r>
      <w:r w:rsidR="00396B13" w:rsidRPr="00221E8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221E8D" w:rsidRPr="00221E8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Pr="00221E8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 млн. рублей</w:t>
      </w:r>
      <w:r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 или 10</w:t>
      </w:r>
      <w:r w:rsidR="00467674"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467674"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%. По сравнению с 20</w:t>
      </w:r>
      <w:r w:rsidR="0012649A"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467674"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годом поступления увеличились на </w:t>
      </w:r>
      <w:r w:rsidR="00467674"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21.6</w:t>
      </w:r>
      <w:r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%, или </w:t>
      </w:r>
      <w:r w:rsidR="00467674"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403,3</w:t>
      </w:r>
      <w:r w:rsidRPr="004676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</w:t>
      </w:r>
    </w:p>
    <w:p w:rsidR="00BB0248" w:rsidRDefault="0079173C" w:rsidP="00603CAB">
      <w:pPr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96232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Налоговые доходы поступили в объеме </w:t>
      </w:r>
      <w:r w:rsidR="0096232B" w:rsidRPr="0096232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Pr="0096232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 </w:t>
      </w:r>
      <w:r w:rsidR="0096232B" w:rsidRPr="0096232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043</w:t>
      </w:r>
      <w:r w:rsidRPr="0096232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96232B" w:rsidRPr="0096232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6</w:t>
      </w:r>
      <w:r w:rsidRPr="0096232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Pr="00204F51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или 10</w:t>
      </w:r>
      <w:r w:rsidR="0096232B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96232B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="00197A88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% </w:t>
      </w:r>
      <w:r w:rsidR="009B19AF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от</w:t>
      </w:r>
      <w:r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уточненны</w:t>
      </w:r>
      <w:r w:rsidR="009B19AF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х</w:t>
      </w:r>
      <w:r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бюджетны</w:t>
      </w:r>
      <w:r w:rsidR="009B19AF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х</w:t>
      </w:r>
      <w:r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назначени</w:t>
      </w:r>
      <w:r w:rsidR="009B19AF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й в сумме</w:t>
      </w:r>
    </w:p>
    <w:p w:rsidR="0079173C" w:rsidRPr="0045293E" w:rsidRDefault="00BB0248" w:rsidP="00BB0248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79173C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млрд. </w:t>
      </w:r>
      <w:r w:rsidR="0096232B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994</w:t>
      </w:r>
      <w:r w:rsidR="0079173C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96232B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79173C" w:rsidRPr="0096232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</w:t>
      </w:r>
      <w:r w:rsidR="0079173C" w:rsidRPr="00204F51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="0079173C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Рост налоговых доходов по отношению к уровню 20</w:t>
      </w:r>
      <w:r w:rsidR="000703F4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96232B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79173C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составил </w:t>
      </w:r>
      <w:r w:rsidR="0045293E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18</w:t>
      </w:r>
      <w:r w:rsidR="000703F4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45293E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9</w:t>
      </w:r>
      <w:r w:rsidR="0079173C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%, или </w:t>
      </w:r>
      <w:r w:rsidR="0045293E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325,8</w:t>
      </w:r>
      <w:r w:rsidR="0079173C" w:rsidRPr="0045293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 Доходы выросли по большинству налоговых источников, среди них:</w:t>
      </w:r>
    </w:p>
    <w:p w:rsidR="0079173C" w:rsidRPr="00245574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- на </w:t>
      </w:r>
      <w:r w:rsidR="00D23199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192,1</w:t>
      </w: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="003673C2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больше уровня 20</w:t>
      </w:r>
      <w:r w:rsidR="005A7680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D23199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 поступил </w:t>
      </w:r>
      <w:r w:rsidRPr="0024557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налог на доходы физических лиц</w:t>
      </w: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 что обусловлено ростом фонда начисленной заработной платы в крупных и средних предприятиях Округа;</w:t>
      </w:r>
    </w:p>
    <w:p w:rsidR="0079173C" w:rsidRPr="00245574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- </w:t>
      </w:r>
      <w:r w:rsidR="0082116F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на </w:t>
      </w:r>
      <w:r w:rsidR="00245574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76</w:t>
      </w:r>
      <w:r w:rsidR="00754151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245574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="003673C2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больше уровня 20</w:t>
      </w:r>
      <w:r w:rsidR="00F732CA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245574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 поступил </w:t>
      </w:r>
      <w:r w:rsidR="000C41C8" w:rsidRPr="0024557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налог,  взима</w:t>
      </w:r>
      <w:r w:rsidRPr="0024557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емый в связи с применением упрощённой системы налогообложения</w:t>
      </w:r>
      <w:r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</w:t>
      </w:r>
      <w:r w:rsidR="00665476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в </w:t>
      </w:r>
      <w:r w:rsidR="00754151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результате </w:t>
      </w:r>
      <w:r w:rsidR="00665476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увеличени</w:t>
      </w:r>
      <w:r w:rsidR="00754151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я</w:t>
      </w:r>
      <w:r w:rsidR="00665476" w:rsidRPr="0024557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количества налогоплательщиков</w:t>
      </w:r>
      <w:r w:rsidR="000005A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</w:t>
      </w:r>
    </w:p>
    <w:p w:rsidR="00BD1A8E" w:rsidRPr="00204F51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</w:pPr>
      <w:r w:rsidRPr="009E2B5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Неналоговые доходы поступили в объеме </w:t>
      </w:r>
      <w:r w:rsidR="009E2B55" w:rsidRPr="009E2B5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227</w:t>
      </w:r>
      <w:r w:rsidRPr="009E2B5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9E2B55" w:rsidRPr="009E2B5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</w:t>
      </w:r>
      <w:r w:rsidRPr="009E2B5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рублей, </w:t>
      </w:r>
      <w:r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или на </w:t>
      </w:r>
      <w:r w:rsidR="00124913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136,8</w:t>
      </w:r>
      <w:r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  к уточненным бюджетным назначениям </w:t>
      </w:r>
      <w:r w:rsidRPr="002145DB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="002145DB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166</w:t>
      </w:r>
      <w:r w:rsidR="00D63E35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2145DB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</w:t>
      </w:r>
      <w:r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</w:t>
      </w:r>
      <w:r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lastRenderedPageBreak/>
        <w:t xml:space="preserve">рублей. </w:t>
      </w:r>
      <w:r w:rsidR="00D63E35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Перевыполнено</w:t>
      </w:r>
      <w:r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доходов на сумму на сумму </w:t>
      </w:r>
      <w:r w:rsidR="002145DB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61,3</w:t>
      </w:r>
      <w:r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="009D7B78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</w:t>
      </w:r>
      <w:r w:rsid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793F6B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Поступления к уровню </w:t>
      </w:r>
      <w:r w:rsidR="00B76564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20</w:t>
      </w:r>
      <w:r w:rsidR="009D7B78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2145DB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B76564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</w:t>
      </w:r>
      <w:r w:rsidR="009D7B78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а</w:t>
      </w:r>
      <w:r w:rsidR="00B76564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9D7B78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составили </w:t>
      </w:r>
      <w:r w:rsidR="00067E67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2145DB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152,2</w:t>
      </w:r>
      <w:r w:rsidR="00793F6B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%.</w:t>
      </w:r>
      <w:r w:rsidR="009D7B78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B76564" w:rsidRPr="002145D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</w:p>
    <w:p w:rsidR="0079173C" w:rsidRPr="00A261B0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9D6AD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Объем недоимки по налоговым доходам и задолженност</w:t>
      </w:r>
      <w:r w:rsidR="00812E68" w:rsidRPr="009D6AD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и по неналоговым доходам на </w:t>
      </w:r>
      <w:r w:rsidRPr="009D6AD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01.01.20</w:t>
      </w:r>
      <w:r w:rsidR="003C04FA" w:rsidRPr="009D6AD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9D6AD6" w:rsidRPr="009D6AD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3</w:t>
      </w:r>
      <w:r w:rsidRPr="009D6AD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сохраняется высоким и </w:t>
      </w:r>
      <w:r w:rsidRPr="00AA16D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составляет  </w:t>
      </w:r>
      <w:r w:rsidR="00AA16D5" w:rsidRPr="00AA16D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193,6</w:t>
      </w:r>
      <w:r w:rsidRPr="00AA16D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</w:t>
      </w:r>
      <w:r w:rsidR="005F1357" w:rsidRPr="00AA1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357" w:rsidRPr="00AA16D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Рост задолженности к уровню 202</w:t>
      </w:r>
      <w:r w:rsidR="009D6AD6" w:rsidRPr="00AA16D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5F1357" w:rsidRPr="00AA16D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</w:t>
      </w:r>
      <w:r w:rsidR="005F1357" w:rsidRPr="00A261B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составил </w:t>
      </w:r>
      <w:r w:rsidR="00AA16D5" w:rsidRPr="00A261B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="005F1357" w:rsidRPr="00A261B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,7%, или </w:t>
      </w:r>
      <w:r w:rsidR="00AA16D5" w:rsidRPr="00A261B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10377,5</w:t>
      </w:r>
      <w:r w:rsidR="005F1357" w:rsidRPr="00A261B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тыс. рублей, в основном, по неналоговым доходам.</w:t>
      </w:r>
    </w:p>
    <w:p w:rsidR="0079173C" w:rsidRPr="00A632E7" w:rsidRDefault="00DF3646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A026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Расходная часть бюджета Миасского городского округа </w:t>
      </w:r>
      <w:r w:rsidR="00176081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исполнена в сумме </w:t>
      </w:r>
      <w:r w:rsidR="00A632E7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</w:t>
      </w:r>
      <w:r w:rsidR="00176081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A632E7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989,8</w:t>
      </w:r>
      <w:r w:rsidR="00176081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 при уточненном бюджете Округа на 202</w:t>
      </w:r>
      <w:r w:rsidR="00A632E7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176081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 в сумме </w:t>
      </w:r>
      <w:r w:rsidR="00A632E7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</w:t>
      </w:r>
      <w:r w:rsidR="00176081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A632E7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109,4</w:t>
      </w:r>
      <w:r w:rsidR="00176081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рублей, или 98,</w:t>
      </w:r>
      <w:r w:rsidR="00A632E7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</w:t>
      </w:r>
      <w:r w:rsidR="00176081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%.</w:t>
      </w:r>
      <w:r w:rsidR="0079173C"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в том числе:</w:t>
      </w:r>
    </w:p>
    <w:p w:rsidR="0079173C" w:rsidRPr="00276234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выполнены переданные государственные полномочия  в сумме  2 млрд. </w:t>
      </w:r>
      <w:r w:rsidR="00276234"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822,7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(99,</w:t>
      </w:r>
      <w:r w:rsidR="00276234"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 от уточненного бюджета Округа);</w:t>
      </w:r>
    </w:p>
    <w:p w:rsidR="00BB0248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собственные полномочия  в сумме </w:t>
      </w:r>
      <w:r w:rsidR="00276234"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276234"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167,1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(</w:t>
      </w:r>
      <w:r w:rsidR="00152E3E"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</w:t>
      </w:r>
      <w:r w:rsidR="00276234"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 от уточненного бюджета Округа).</w:t>
      </w:r>
    </w:p>
    <w:p w:rsidR="008A15F6" w:rsidRDefault="00BB0248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Увеличение расходов  к уровню  2022 года  составило 35,8 %, или 2 млрд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Pr="00A632E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105 млн. рублей</w:t>
      </w:r>
      <w:r w:rsidR="008A15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79173C" w:rsidRPr="00276234" w:rsidRDefault="008A15F6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A15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Исполнение бюджета Округа осуществлялось по казначейской системе.</w:t>
      </w:r>
      <w:r w:rsidR="0079173C"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1B358C" w:rsidRPr="00276234" w:rsidRDefault="00EA66AE" w:rsidP="00603CA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Бюджет Миасского городского округа сохраняет свою социальную направленность. </w:t>
      </w:r>
    </w:p>
    <w:p w:rsidR="00BB0248" w:rsidRDefault="00276234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762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Расходы на социальную сферу 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 2022 году составили  5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млрд.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831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,9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млн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рублей, или  73,0% от общего объема расходов. Доля расходов на финансирование социальной сферы в 2021 году составляла 77,3 %, или 4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млрд.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551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,1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млн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рублей в общей сумме расходов бюджета Округа. Снижение доли связано с увеличением общего объема расходов, в то же время рост расходов на социальную сферу в суммарном выражении в сравнении с 2021 годом составил </w:t>
      </w:r>
    </w:p>
    <w:p w:rsidR="00276234" w:rsidRPr="00276234" w:rsidRDefault="00276234" w:rsidP="00BB0248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="00BB024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млрд.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,9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тыс. рублей. </w:t>
      </w:r>
    </w:p>
    <w:p w:rsidR="008D3866" w:rsidRDefault="00276234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Основные причины увеличения расходов:</w:t>
      </w:r>
    </w:p>
    <w:p w:rsidR="00BB0248" w:rsidRDefault="00BB0248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Pr="00BB024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обеспечение доведения заработной платы </w:t>
      </w:r>
      <w:proofErr w:type="gramStart"/>
      <w:r w:rsidRPr="00BB024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</w:t>
      </w:r>
      <w:proofErr w:type="gramEnd"/>
      <w:r w:rsidRPr="00BB024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gramStart"/>
      <w:r w:rsidRPr="00BB024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МРОТ</w:t>
      </w:r>
      <w:proofErr w:type="gramEnd"/>
      <w:r w:rsidRPr="00BB024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(с  14710,8 рублей до 15973,5 рублей с 01.01.2022 года и до 17570,8 рублей с 01.06.2022 года)  и до установленных индикативных показателей по отдельным категориям работников бюджетной сферы, установленных Указами Президента и распоряжением Правительства Челябинской области</w:t>
      </w:r>
    </w:p>
    <w:p w:rsidR="008D3866" w:rsidRDefault="00BB0248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Pr="00BB024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выкуп здания для размещения новой общеобразовательной  организации МАОУ «Образовательный центр»   и начало работы нового учреждения с 01.09.2022 года</w:t>
      </w:r>
      <w:r w:rsidR="008D386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276234" w:rsidRPr="00276234" w:rsidRDefault="008D3866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276234"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капитальные вложения в объекты физической культуры и спорта, закупка оборудования для создания «умных спортивных </w:t>
      </w:r>
      <w:r w:rsidR="00276234" w:rsidRPr="0027623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площадок» и индексация социальных пособий в соответствии с Законами Челябинской области и др.</w:t>
      </w:r>
    </w:p>
    <w:p w:rsidR="00276234" w:rsidRPr="00276234" w:rsidRDefault="00276234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7623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На расходы в сфере экономики 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>(жилищно-коммун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альное хозяйство, транспорт, до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>рожное хозяйство, и т.д.) направлено 1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млрд.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>803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,4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млн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>. рублей, или 22,6 % от общего объема расходов. В 2021 году данные показатели составляли соответственно 1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млрд.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,5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млн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рублей  и 17,6 %. </w:t>
      </w:r>
    </w:p>
    <w:p w:rsidR="00276234" w:rsidRDefault="00276234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>Основные причины роста расходов в 2022 году на 74,2%, или на сумму 767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,9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млн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>. рублей:</w:t>
      </w:r>
    </w:p>
    <w:p w:rsidR="00276234" w:rsidRDefault="00276234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увеличение объема межбюджетных трансфертов на обеспечение мероприятий  по переселению граждан из аварийного жилищного фонда; </w:t>
      </w:r>
    </w:p>
    <w:p w:rsidR="008D3866" w:rsidRDefault="00276234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</w:t>
      </w:r>
      <w:r w:rsidR="00BB024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поступление средств из областного бюджета на  организацию регулярных перевозок пассажиров электрическим транспортом, на приобретение и ремонт подвижного состава для обеспечения пассажирских перевозок;  </w:t>
      </w:r>
    </w:p>
    <w:p w:rsidR="00276234" w:rsidRDefault="008D3866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</w:t>
      </w:r>
      <w:r w:rsidR="00276234" w:rsidRPr="00276234">
        <w:rPr>
          <w:rFonts w:ascii="Times New Roman" w:eastAsia="Times New Roman" w:hAnsi="Times New Roman" w:cs="Times New Roman"/>
          <w:spacing w:val="20"/>
          <w:sz w:val="28"/>
          <w:szCs w:val="28"/>
        </w:rPr>
        <w:t>увеличение объема средств, направленных на проведение капитального ремонта и содержания дорог общего пользования (с учетом средств, привлеченных из областного бюджета).</w:t>
      </w:r>
    </w:p>
    <w:p w:rsidR="00BB0248" w:rsidRDefault="00BB0248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B0248">
        <w:rPr>
          <w:rFonts w:ascii="Times New Roman" w:eastAsia="Times New Roman" w:hAnsi="Times New Roman" w:cs="Times New Roman"/>
          <w:spacing w:val="20"/>
          <w:sz w:val="28"/>
          <w:szCs w:val="28"/>
        </w:rPr>
        <w:t>По состоянию на 01.01.2023 года муниципальный долг отсутствует. Гарантии и поручительства в 2022 году не предоставлялись.</w:t>
      </w:r>
    </w:p>
    <w:p w:rsidR="00BB0248" w:rsidRDefault="00BB0248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B0248">
        <w:rPr>
          <w:rFonts w:ascii="Times New Roman" w:eastAsia="Times New Roman" w:hAnsi="Times New Roman" w:cs="Times New Roman"/>
          <w:spacing w:val="20"/>
          <w:sz w:val="28"/>
          <w:szCs w:val="28"/>
        </w:rPr>
        <w:t>Бюджетная обеспеченность на одного жителя в отчетном году составила 48,4 тыс. рублей (в 2021 году – 35,7 тыс. рублей).</w:t>
      </w:r>
    </w:p>
    <w:p w:rsidR="008A15F6" w:rsidRPr="00276234" w:rsidRDefault="008A15F6" w:rsidP="008A15F6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A15F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течение отчетного периода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информация об исполнении бюджета регулярно предоставлялась </w:t>
      </w:r>
      <w:r w:rsidRPr="008A15F6">
        <w:rPr>
          <w:rFonts w:ascii="Times New Roman" w:eastAsia="Times New Roman" w:hAnsi="Times New Roman" w:cs="Times New Roman"/>
          <w:spacing w:val="20"/>
          <w:sz w:val="28"/>
          <w:szCs w:val="28"/>
        </w:rPr>
        <w:t>в Собрание депутатов Миасского городского округа и Контрольно-счетную палату Миасского городского округа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Pr="008A15F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A15F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проводились</w:t>
      </w:r>
      <w:r w:rsidRPr="008A15F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мероприятия по обеспечению доступности бюджетных данных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для жителей Округа</w:t>
      </w:r>
      <w:r w:rsidRPr="008A15F6">
        <w:rPr>
          <w:rFonts w:ascii="Times New Roman" w:eastAsia="Times New Roman" w:hAnsi="Times New Roman" w:cs="Times New Roman"/>
          <w:spacing w:val="20"/>
          <w:sz w:val="28"/>
          <w:szCs w:val="28"/>
        </w:rPr>
        <w:t>. В течение 2022 года на официальном сайте Администрации Миасского городского округа, в официальных периодических изданиях и в информационно-телекоммуникационной сети «Интернет» размещались</w:t>
      </w:r>
      <w:r w:rsidR="0050550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  <w:r w:rsidRPr="008A15F6">
        <w:rPr>
          <w:rFonts w:ascii="Times New Roman" w:eastAsia="Times New Roman" w:hAnsi="Times New Roman" w:cs="Times New Roman"/>
          <w:spacing w:val="20"/>
          <w:sz w:val="28"/>
          <w:szCs w:val="28"/>
        </w:rPr>
        <w:t>проекты решений о внесении изменений в бюджет Округа за отчетный период; информаци</w:t>
      </w:r>
      <w:r w:rsidR="00505508">
        <w:rPr>
          <w:rFonts w:ascii="Times New Roman" w:eastAsia="Times New Roman" w:hAnsi="Times New Roman" w:cs="Times New Roman"/>
          <w:spacing w:val="20"/>
          <w:sz w:val="28"/>
          <w:szCs w:val="28"/>
        </w:rPr>
        <w:t>и об исполнении бюджета Миасского городского округа</w:t>
      </w:r>
      <w:r w:rsidRPr="008A15F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; </w:t>
      </w:r>
      <w:r w:rsidR="00505508">
        <w:rPr>
          <w:rFonts w:ascii="Times New Roman" w:eastAsia="Times New Roman" w:hAnsi="Times New Roman" w:cs="Times New Roman"/>
          <w:spacing w:val="20"/>
          <w:sz w:val="28"/>
          <w:szCs w:val="28"/>
        </w:rPr>
        <w:t>брошюры</w:t>
      </w:r>
      <w:bookmarkStart w:id="0" w:name="_GoBack"/>
      <w:bookmarkEnd w:id="0"/>
      <w:r w:rsidRPr="008A15F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«Бюджет для граждан» об исполнении бюджета Миасского городского округа за 2021 год и к проекту бюджета Миасского городского округа  на 2023 год и плановый период 2024 и 2025 годов. Кроме того, в целях учета мнения жителей Округа, проводились опросы по содержанию и структуре  брошюры «Бюджет для граждан».</w:t>
      </w:r>
    </w:p>
    <w:p w:rsidR="0079173C" w:rsidRPr="00AA0260" w:rsidRDefault="0079173C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</w:pPr>
      <w:r w:rsidRPr="00AA0260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  <w:lastRenderedPageBreak/>
        <w:t>Участники публичных слушаний рекомендуют:</w:t>
      </w:r>
    </w:p>
    <w:p w:rsidR="0079173C" w:rsidRPr="00AA0260" w:rsidRDefault="0079173C" w:rsidP="00603CA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uto"/>
        <w:ind w:left="75" w:right="57" w:firstLine="63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AA026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Собранию депутатов Миасского городского округа рассмотреть проект решения «Об исполнении бюджета Миасского городского округа за 20</w:t>
      </w:r>
      <w:r w:rsidR="008B78EB" w:rsidRPr="00AA026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</w:t>
      </w:r>
      <w:r w:rsidR="00AA026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</w:t>
      </w:r>
      <w:r w:rsidRPr="00AA026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год» </w:t>
      </w: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>и принять его.</w:t>
      </w:r>
    </w:p>
    <w:p w:rsidR="0079173C" w:rsidRPr="00AA0260" w:rsidRDefault="0079173C" w:rsidP="00603CA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uto"/>
        <w:ind w:left="142" w:right="57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Администрации Миасского городского округа продолжить работу: </w:t>
      </w:r>
    </w:p>
    <w:p w:rsidR="0079173C" w:rsidRPr="00AA0260" w:rsidRDefault="0079173C" w:rsidP="00603CA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привлечению в бюджет Миасского городского округа средств из вышестоящих бюджетов для дополнительного финансирования приоритетных направлений социально-экономического развития; </w:t>
      </w:r>
    </w:p>
    <w:p w:rsidR="00342DE6" w:rsidRPr="00AA0260" w:rsidRDefault="00342DE6" w:rsidP="00603CA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</w:t>
      </w:r>
      <w:proofErr w:type="gramStart"/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контролю за</w:t>
      </w:r>
      <w:proofErr w:type="gramEnd"/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обеспечением завершения строительства и ввода в эксплуатацию объектов капитально строительства;</w:t>
      </w:r>
    </w:p>
    <w:p w:rsidR="00342DE6" w:rsidRPr="00AA0260" w:rsidRDefault="00342DE6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>2</w:t>
      </w:r>
      <w:r w:rsidR="0079173C"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>)</w:t>
      </w:r>
      <w:r w:rsidR="0079173C"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межведомственных комиссий по </w:t>
      </w:r>
      <w:r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>обеспечению полноты и своевременности поступлений налогов, сборов в бюджет Округа, сокращения задолженности организаций по налогам и сборам в бюджетную систему Российской Федерации, а также по координации действий по работе с организациями, имеющими неудовлетворительные экономические показатели</w:t>
      </w:r>
      <w:r w:rsidR="008E147C" w:rsidRPr="00AA0260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342DE6" w:rsidRPr="00B548F9" w:rsidRDefault="0079173C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3.</w:t>
      </w: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Главным администраторам доходов бюджета Округа повысить </w:t>
      </w:r>
      <w:r w:rsidR="00342DE6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уровень собираемости и качество </w:t>
      </w: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прогноз</w:t>
      </w:r>
      <w:r w:rsidR="00342DE6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ирования поступления администрируемых доходов в бюджет Округа, а также продолжить работу по сокращению имеющейся задолженности и приняти</w:t>
      </w:r>
      <w:r w:rsidR="008A15F6">
        <w:rPr>
          <w:rFonts w:ascii="Times New Roman" w:eastAsia="Times New Roman" w:hAnsi="Times New Roman" w:cs="Times New Roman"/>
          <w:spacing w:val="20"/>
          <w:sz w:val="28"/>
          <w:szCs w:val="28"/>
        </w:rPr>
        <w:t>ю</w:t>
      </w:r>
      <w:r w:rsidR="00342DE6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своевременных мер по ее взысканию.</w:t>
      </w:r>
    </w:p>
    <w:p w:rsidR="00E227A7" w:rsidRPr="00B548F9" w:rsidRDefault="0079173C" w:rsidP="00603CAB">
      <w:pPr>
        <w:widowControl w:val="0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4.</w:t>
      </w: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Главным распорядителям средств бюджета Округа</w:t>
      </w:r>
      <w:r w:rsidR="00E227A7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</w:p>
    <w:p w:rsidR="0079173C" w:rsidRPr="00B548F9" w:rsidRDefault="0079173C" w:rsidP="00603CAB">
      <w:pPr>
        <w:widowControl w:val="0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1) </w:t>
      </w:r>
      <w:r w:rsidR="00E227A7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продолжить работу по </w:t>
      </w: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осуществл</w:t>
      </w:r>
      <w:r w:rsidR="00E227A7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ению</w:t>
      </w: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</w:t>
      </w:r>
      <w:r w:rsidR="00E227A7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я</w:t>
      </w: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за</w:t>
      </w:r>
      <w:proofErr w:type="gramEnd"/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достижением высоких показателей качества управления финансами и укрепления финансовой дисциплины;</w:t>
      </w:r>
    </w:p>
    <w:p w:rsidR="00722281" w:rsidRPr="00B548F9" w:rsidRDefault="00722281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79173C"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) </w:t>
      </w:r>
      <w:r w:rsidR="00E227A7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продолжить работу </w:t>
      </w:r>
      <w:r w:rsidR="00E227A7"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 </w:t>
      </w:r>
      <w:r w:rsidR="0079173C"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обеспеч</w:t>
      </w:r>
      <w:r w:rsidR="00031E2D"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ению </w:t>
      </w:r>
      <w:r w:rsidR="0079173C"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целево</w:t>
      </w:r>
      <w:r w:rsidR="00031E2D"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го</w:t>
      </w:r>
      <w:r w:rsidR="0079173C"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использовани</w:t>
      </w:r>
      <w:r w:rsidR="00031E2D"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я </w:t>
      </w:r>
      <w:r w:rsidR="0079173C" w:rsidRPr="00B548F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79173C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повыш</w:t>
      </w:r>
      <w:r w:rsidR="00031E2D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ению</w:t>
      </w:r>
      <w:r w:rsidR="0079173C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эффективность </w:t>
      </w:r>
      <w:r w:rsidR="00031E2D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расходования</w:t>
      </w:r>
      <w:r w:rsidR="00CE06B0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бюджетных средств, в том числе предусмотренных на реализацию национальных проектов</w:t>
      </w:r>
      <w:r w:rsidR="001B358C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</w:p>
    <w:p w:rsidR="0079173C" w:rsidRPr="00B548F9" w:rsidRDefault="00722281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3) усилить контроль за выполнением учреждениями Округа </w:t>
      </w:r>
      <w:r w:rsidRPr="00B548F9">
        <w:rPr>
          <w:rFonts w:ascii="Times New Roman" w:hAnsi="Times New Roman"/>
          <w:sz w:val="28"/>
          <w:szCs w:val="28"/>
          <w:lang w:eastAsia="ru-RU"/>
        </w:rPr>
        <w:t>муниципальных заданий на оказание муниципальных услуг</w:t>
      </w: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, в том числе за </w:t>
      </w:r>
      <w:proofErr w:type="gramStart"/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достижением</w:t>
      </w:r>
      <w:proofErr w:type="gramEnd"/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установленных в них показателей;</w:t>
      </w:r>
    </w:p>
    <w:p w:rsidR="00EF2156" w:rsidRPr="00B548F9" w:rsidRDefault="00CE06B0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</w:t>
      </w:r>
      <w:r w:rsidR="0079173C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) </w:t>
      </w:r>
      <w:r w:rsidR="00EF2156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не допускать</w:t>
      </w:r>
      <w:r w:rsidR="0079173C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:</w:t>
      </w:r>
    </w:p>
    <w:p w:rsidR="0079173C" w:rsidRPr="00B548F9" w:rsidRDefault="00EF2156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- принятие новых расходных обязатель</w:t>
      </w:r>
      <w:proofErr w:type="gramStart"/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ств пр</w:t>
      </w:r>
      <w:proofErr w:type="gramEnd"/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 отсутствии средств на финансирование действующих расходных обязательств;</w:t>
      </w:r>
      <w:r w:rsidR="0079173C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EF2156" w:rsidRPr="00B548F9" w:rsidRDefault="00EF2156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- </w:t>
      </w: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образования просроченной кредиторской задолженности по расходным обязательствам Округа</w:t>
      </w:r>
      <w:r w:rsidR="00722281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, в первую очередь, по заработной плате работникам муниципальных учреждений;</w:t>
      </w:r>
    </w:p>
    <w:p w:rsidR="00722281" w:rsidRPr="00B548F9" w:rsidRDefault="00722281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- принятие бюджетных обязательств в размерах, превышающих доведенные лимиты бюджетных обязательств;</w:t>
      </w:r>
    </w:p>
    <w:p w:rsidR="00722281" w:rsidRPr="00B548F9" w:rsidRDefault="00CE06B0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lastRenderedPageBreak/>
        <w:tab/>
        <w:t>5</w:t>
      </w:r>
      <w:r w:rsidR="00722281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) обеспечить </w:t>
      </w:r>
      <w:r w:rsidR="00603CAB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выполнение индикативных показателей</w:t>
      </w:r>
      <w:r w:rsidR="00722281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средней заработной платы работников бюджетной сферы в соответствии с Указами Президента Российской Федерации от 07.05.2012 года</w:t>
      </w:r>
      <w:r w:rsidR="00603CAB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и</w:t>
      </w:r>
      <w:r w:rsidR="00603CAB" w:rsidRPr="00B548F9">
        <w:t xml:space="preserve"> </w:t>
      </w:r>
      <w:r w:rsidR="00603CAB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доведение заработной платы до минимального </w:t>
      </w:r>
      <w:proofErr w:type="gramStart"/>
      <w:r w:rsidR="00603CAB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размера оплаты труда</w:t>
      </w:r>
      <w:proofErr w:type="gramEnd"/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807611" w:rsidRPr="00B548F9" w:rsidRDefault="00807611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5. Межрайонной ИФНС России № 23 по </w:t>
      </w:r>
      <w:r w:rsidRPr="002C16CE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Челябинской области </w:t>
      </w: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продолжить работу по: </w:t>
      </w:r>
    </w:p>
    <w:p w:rsidR="003E7605" w:rsidRPr="00B548F9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317ECF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1) </w:t>
      </w:r>
      <w:r w:rsidR="003E7605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обеспечению своевременного и в полном объеме поступления в бюджет Округа налогов и сборов;</w:t>
      </w:r>
    </w:p>
    <w:p w:rsidR="003E7605" w:rsidRPr="00B548F9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317ECF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2) </w:t>
      </w:r>
      <w:r w:rsidR="00807611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реализации предусмотренных законодательством Российской Федерации мер по обеспечению полноты взыскания имеющейся задолженности по налогам</w:t>
      </w:r>
      <w:r w:rsidR="003E7605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 </w:t>
      </w:r>
      <w:r w:rsidR="00807611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сборам в бюджеты бюджетной системы Российской Федерации</w:t>
      </w:r>
      <w:r w:rsidR="00E65F1A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</w:p>
    <w:p w:rsidR="003E7605" w:rsidRPr="00B548F9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317ECF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3) </w:t>
      </w:r>
      <w:r w:rsidR="003E7605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проведению комплексных мероприятий по легализации налоговой базы и объектов налогообложения, в том числе по легализации заработной платы, а также по сокращению неформальной занятости населения</w:t>
      </w:r>
      <w:r w:rsidR="00E65F1A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  <w:r w:rsidR="003E7605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807611" w:rsidRPr="00B548F9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E65F1A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4) </w:t>
      </w:r>
      <w:r w:rsidR="00807611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актуализации базы данных налоговых органов с целью обеспечения полноты и правильности исчисления имущественных налогов, а также уплаты физическими и юридическими лицами соответствующих налогов</w:t>
      </w:r>
      <w:r w:rsidR="00370218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79173C" w:rsidRPr="00B548F9" w:rsidRDefault="00807611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6</w:t>
      </w:r>
      <w:r w:rsidR="0079173C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79173C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79173C" w:rsidRPr="00B548F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Руководителям организаций, индивидуальным предпринимателям и физическим лицам, являющимся налогоплательщиками на территории Миасского городского округа, </w:t>
      </w:r>
      <w:r w:rsidR="0079173C" w:rsidRPr="00B548F9">
        <w:rPr>
          <w:rFonts w:ascii="Times New Roman" w:eastAsia="Times New Roman" w:hAnsi="Times New Roman" w:cs="Times New Roman"/>
          <w:spacing w:val="20"/>
          <w:sz w:val="28"/>
          <w:szCs w:val="28"/>
        </w:rPr>
        <w:t>обеспечивать своевременное и полное перечисление текущих платежей, а также погашение имеющейся задолженности по платежам в бюджетную систему Российской Федерации.</w:t>
      </w:r>
    </w:p>
    <w:p w:rsidR="00B607A4" w:rsidRDefault="00B607A4" w:rsidP="0079173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79173C" w:rsidRPr="00B548F9" w:rsidRDefault="0079173C" w:rsidP="0079173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B548F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г. Миасс                                         </w:t>
      </w:r>
      <w:r w:rsidR="00E227A7" w:rsidRPr="00B548F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</w:t>
      </w:r>
      <w:r w:rsidRPr="00B548F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    </w:t>
      </w:r>
      <w:r w:rsidR="00E168A6" w:rsidRPr="00B548F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548F9">
        <w:rPr>
          <w:rFonts w:ascii="Times New Roman" w:eastAsia="Times New Roman" w:hAnsi="Times New Roman" w:cs="Times New Roman"/>
          <w:spacing w:val="20"/>
          <w:sz w:val="26"/>
          <w:szCs w:val="26"/>
        </w:rPr>
        <w:t>20</w:t>
      </w:r>
      <w:r w:rsidR="00E168A6" w:rsidRPr="00B548F9">
        <w:rPr>
          <w:rFonts w:ascii="Times New Roman" w:eastAsia="Times New Roman" w:hAnsi="Times New Roman" w:cs="Times New Roman"/>
          <w:spacing w:val="20"/>
          <w:sz w:val="26"/>
          <w:szCs w:val="26"/>
        </w:rPr>
        <w:t>2</w:t>
      </w:r>
      <w:r w:rsidR="00204F51" w:rsidRPr="00B548F9">
        <w:rPr>
          <w:rFonts w:ascii="Times New Roman" w:eastAsia="Times New Roman" w:hAnsi="Times New Roman" w:cs="Times New Roman"/>
          <w:spacing w:val="20"/>
          <w:sz w:val="26"/>
          <w:szCs w:val="26"/>
        </w:rPr>
        <w:t>3</w:t>
      </w:r>
      <w:r w:rsidRPr="00B548F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год</w:t>
      </w:r>
    </w:p>
    <w:p w:rsidR="004F7573" w:rsidRPr="00B548F9" w:rsidRDefault="004F7573"/>
    <w:sectPr w:rsidR="004F7573" w:rsidRPr="00B548F9" w:rsidSect="00B607A4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BF2"/>
    <w:multiLevelType w:val="hybridMultilevel"/>
    <w:tmpl w:val="8A987922"/>
    <w:lvl w:ilvl="0" w:tplc="DFE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3977"/>
    <w:multiLevelType w:val="hybridMultilevel"/>
    <w:tmpl w:val="1F380C60"/>
    <w:lvl w:ilvl="0" w:tplc="64B28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4287"/>
    <w:multiLevelType w:val="hybridMultilevel"/>
    <w:tmpl w:val="F27C030E"/>
    <w:lvl w:ilvl="0" w:tplc="BF8AAB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1427B"/>
    <w:multiLevelType w:val="hybridMultilevel"/>
    <w:tmpl w:val="6D6E8A0E"/>
    <w:lvl w:ilvl="0" w:tplc="DFEAC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A2778C7"/>
    <w:multiLevelType w:val="hybridMultilevel"/>
    <w:tmpl w:val="76A04984"/>
    <w:lvl w:ilvl="0" w:tplc="DFEAC0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3C"/>
    <w:rsid w:val="000005AE"/>
    <w:rsid w:val="00000825"/>
    <w:rsid w:val="00010F07"/>
    <w:rsid w:val="00014CAE"/>
    <w:rsid w:val="00031E2D"/>
    <w:rsid w:val="00061A0C"/>
    <w:rsid w:val="00067E67"/>
    <w:rsid w:val="000703F4"/>
    <w:rsid w:val="00081AF4"/>
    <w:rsid w:val="000A7933"/>
    <w:rsid w:val="000B11FD"/>
    <w:rsid w:val="000C41C8"/>
    <w:rsid w:val="00104324"/>
    <w:rsid w:val="00115C8E"/>
    <w:rsid w:val="00124913"/>
    <w:rsid w:val="0012649A"/>
    <w:rsid w:val="00141585"/>
    <w:rsid w:val="00152E3E"/>
    <w:rsid w:val="00153571"/>
    <w:rsid w:val="00176081"/>
    <w:rsid w:val="00197A88"/>
    <w:rsid w:val="001A780E"/>
    <w:rsid w:val="001B358C"/>
    <w:rsid w:val="001D3DCE"/>
    <w:rsid w:val="001D3F1C"/>
    <w:rsid w:val="001E0779"/>
    <w:rsid w:val="001E1E72"/>
    <w:rsid w:val="00204C84"/>
    <w:rsid w:val="00204F51"/>
    <w:rsid w:val="00210561"/>
    <w:rsid w:val="0021441E"/>
    <w:rsid w:val="002145DB"/>
    <w:rsid w:val="00221E8D"/>
    <w:rsid w:val="002323BC"/>
    <w:rsid w:val="00245574"/>
    <w:rsid w:val="002673BC"/>
    <w:rsid w:val="00267DD7"/>
    <w:rsid w:val="00276234"/>
    <w:rsid w:val="002921F5"/>
    <w:rsid w:val="002B751C"/>
    <w:rsid w:val="002C16CE"/>
    <w:rsid w:val="002C5CEC"/>
    <w:rsid w:val="002C6EF6"/>
    <w:rsid w:val="002E30BD"/>
    <w:rsid w:val="00304BFA"/>
    <w:rsid w:val="00317ECF"/>
    <w:rsid w:val="0033444E"/>
    <w:rsid w:val="00342DE6"/>
    <w:rsid w:val="00353BBE"/>
    <w:rsid w:val="003673C2"/>
    <w:rsid w:val="00367922"/>
    <w:rsid w:val="00370218"/>
    <w:rsid w:val="003743E9"/>
    <w:rsid w:val="00383017"/>
    <w:rsid w:val="0038796B"/>
    <w:rsid w:val="00391AFF"/>
    <w:rsid w:val="00396B13"/>
    <w:rsid w:val="003A31E6"/>
    <w:rsid w:val="003A4D38"/>
    <w:rsid w:val="003A5D2A"/>
    <w:rsid w:val="003B08E8"/>
    <w:rsid w:val="003C04FA"/>
    <w:rsid w:val="003E0052"/>
    <w:rsid w:val="003E7605"/>
    <w:rsid w:val="003F6FC9"/>
    <w:rsid w:val="003F7E2A"/>
    <w:rsid w:val="0040718E"/>
    <w:rsid w:val="00443F5E"/>
    <w:rsid w:val="004454A0"/>
    <w:rsid w:val="0045293E"/>
    <w:rsid w:val="0046460A"/>
    <w:rsid w:val="00467674"/>
    <w:rsid w:val="00483562"/>
    <w:rsid w:val="0048650E"/>
    <w:rsid w:val="0049420F"/>
    <w:rsid w:val="004A00B2"/>
    <w:rsid w:val="004A1001"/>
    <w:rsid w:val="004A55E9"/>
    <w:rsid w:val="004B04B8"/>
    <w:rsid w:val="004B6F5E"/>
    <w:rsid w:val="004C15AE"/>
    <w:rsid w:val="004C5A68"/>
    <w:rsid w:val="004E0A63"/>
    <w:rsid w:val="004F7573"/>
    <w:rsid w:val="00505508"/>
    <w:rsid w:val="0051439B"/>
    <w:rsid w:val="00515751"/>
    <w:rsid w:val="00590300"/>
    <w:rsid w:val="00593599"/>
    <w:rsid w:val="005A24B5"/>
    <w:rsid w:val="005A7680"/>
    <w:rsid w:val="005E35F6"/>
    <w:rsid w:val="005F1357"/>
    <w:rsid w:val="00600C49"/>
    <w:rsid w:val="00603CAB"/>
    <w:rsid w:val="006232B2"/>
    <w:rsid w:val="00630340"/>
    <w:rsid w:val="006368AE"/>
    <w:rsid w:val="00647739"/>
    <w:rsid w:val="00665476"/>
    <w:rsid w:val="00677E31"/>
    <w:rsid w:val="00681F19"/>
    <w:rsid w:val="00690FE7"/>
    <w:rsid w:val="00693013"/>
    <w:rsid w:val="006A347D"/>
    <w:rsid w:val="006B0F7D"/>
    <w:rsid w:val="006D01B9"/>
    <w:rsid w:val="006D312E"/>
    <w:rsid w:val="006D7EF0"/>
    <w:rsid w:val="006E0F14"/>
    <w:rsid w:val="00722281"/>
    <w:rsid w:val="00754151"/>
    <w:rsid w:val="00760856"/>
    <w:rsid w:val="00781C42"/>
    <w:rsid w:val="0079173C"/>
    <w:rsid w:val="00793F6B"/>
    <w:rsid w:val="00795AE6"/>
    <w:rsid w:val="007C4386"/>
    <w:rsid w:val="007E3A30"/>
    <w:rsid w:val="007E5C00"/>
    <w:rsid w:val="007F4E3D"/>
    <w:rsid w:val="00804A15"/>
    <w:rsid w:val="00807611"/>
    <w:rsid w:val="00812E68"/>
    <w:rsid w:val="00813E47"/>
    <w:rsid w:val="0082116F"/>
    <w:rsid w:val="0082433E"/>
    <w:rsid w:val="00851E7E"/>
    <w:rsid w:val="008720B7"/>
    <w:rsid w:val="0087708D"/>
    <w:rsid w:val="00895D70"/>
    <w:rsid w:val="008A15F6"/>
    <w:rsid w:val="008A7F0F"/>
    <w:rsid w:val="008B78EB"/>
    <w:rsid w:val="008D3866"/>
    <w:rsid w:val="008E147C"/>
    <w:rsid w:val="009311EE"/>
    <w:rsid w:val="00942553"/>
    <w:rsid w:val="00953387"/>
    <w:rsid w:val="00954372"/>
    <w:rsid w:val="0096232B"/>
    <w:rsid w:val="00967BCB"/>
    <w:rsid w:val="009831BF"/>
    <w:rsid w:val="009862B7"/>
    <w:rsid w:val="0099427C"/>
    <w:rsid w:val="009A530D"/>
    <w:rsid w:val="009B19AF"/>
    <w:rsid w:val="009B3244"/>
    <w:rsid w:val="009D6AD6"/>
    <w:rsid w:val="009D7B78"/>
    <w:rsid w:val="009E1E50"/>
    <w:rsid w:val="009E2B55"/>
    <w:rsid w:val="009E3E4F"/>
    <w:rsid w:val="00A061E1"/>
    <w:rsid w:val="00A231DD"/>
    <w:rsid w:val="00A261B0"/>
    <w:rsid w:val="00A35207"/>
    <w:rsid w:val="00A5210A"/>
    <w:rsid w:val="00A57CA8"/>
    <w:rsid w:val="00A60731"/>
    <w:rsid w:val="00A632E7"/>
    <w:rsid w:val="00A70626"/>
    <w:rsid w:val="00A729FC"/>
    <w:rsid w:val="00A7578B"/>
    <w:rsid w:val="00A775DE"/>
    <w:rsid w:val="00A828CB"/>
    <w:rsid w:val="00AA0260"/>
    <w:rsid w:val="00AA16D5"/>
    <w:rsid w:val="00AA6311"/>
    <w:rsid w:val="00AC3A63"/>
    <w:rsid w:val="00AE2D0A"/>
    <w:rsid w:val="00B06082"/>
    <w:rsid w:val="00B066C2"/>
    <w:rsid w:val="00B548F9"/>
    <w:rsid w:val="00B607A4"/>
    <w:rsid w:val="00B76564"/>
    <w:rsid w:val="00B822D8"/>
    <w:rsid w:val="00B85AA9"/>
    <w:rsid w:val="00BB0248"/>
    <w:rsid w:val="00BB3471"/>
    <w:rsid w:val="00BC3A33"/>
    <w:rsid w:val="00BD1A8E"/>
    <w:rsid w:val="00BE38F1"/>
    <w:rsid w:val="00BF25D4"/>
    <w:rsid w:val="00C035AE"/>
    <w:rsid w:val="00C05993"/>
    <w:rsid w:val="00C15D03"/>
    <w:rsid w:val="00C34348"/>
    <w:rsid w:val="00C5557F"/>
    <w:rsid w:val="00C60BA0"/>
    <w:rsid w:val="00CA15D3"/>
    <w:rsid w:val="00CD0978"/>
    <w:rsid w:val="00CE06B0"/>
    <w:rsid w:val="00D152F1"/>
    <w:rsid w:val="00D15A1D"/>
    <w:rsid w:val="00D23199"/>
    <w:rsid w:val="00D63E35"/>
    <w:rsid w:val="00D948F9"/>
    <w:rsid w:val="00DA787E"/>
    <w:rsid w:val="00DB184B"/>
    <w:rsid w:val="00DB4D94"/>
    <w:rsid w:val="00DB51F6"/>
    <w:rsid w:val="00DB5D5B"/>
    <w:rsid w:val="00DB7687"/>
    <w:rsid w:val="00DC4429"/>
    <w:rsid w:val="00DC5C66"/>
    <w:rsid w:val="00DE3937"/>
    <w:rsid w:val="00DF3646"/>
    <w:rsid w:val="00E168A6"/>
    <w:rsid w:val="00E16E0E"/>
    <w:rsid w:val="00E227A7"/>
    <w:rsid w:val="00E251C1"/>
    <w:rsid w:val="00E540AF"/>
    <w:rsid w:val="00E65F1A"/>
    <w:rsid w:val="00E71EFE"/>
    <w:rsid w:val="00E7607D"/>
    <w:rsid w:val="00E86B2A"/>
    <w:rsid w:val="00EA66AE"/>
    <w:rsid w:val="00EB2EB3"/>
    <w:rsid w:val="00ED1A2A"/>
    <w:rsid w:val="00ED6284"/>
    <w:rsid w:val="00ED6E05"/>
    <w:rsid w:val="00EF2156"/>
    <w:rsid w:val="00EF6ADD"/>
    <w:rsid w:val="00EF76E6"/>
    <w:rsid w:val="00F13591"/>
    <w:rsid w:val="00F13BD5"/>
    <w:rsid w:val="00F27B4B"/>
    <w:rsid w:val="00F32398"/>
    <w:rsid w:val="00F47F2E"/>
    <w:rsid w:val="00F732CA"/>
    <w:rsid w:val="00FA6A4C"/>
    <w:rsid w:val="00FE3E09"/>
    <w:rsid w:val="00FE5234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04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4B8"/>
  </w:style>
  <w:style w:type="paragraph" w:styleId="a5">
    <w:name w:val="List Paragraph"/>
    <w:basedOn w:val="a"/>
    <w:uiPriority w:val="34"/>
    <w:qFormat/>
    <w:rsid w:val="003E0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04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4B8"/>
  </w:style>
  <w:style w:type="paragraph" w:styleId="a5">
    <w:name w:val="List Paragraph"/>
    <w:basedOn w:val="a"/>
    <w:uiPriority w:val="34"/>
    <w:qFormat/>
    <w:rsid w:val="003E0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Мария Молчанова</cp:lastModifiedBy>
  <cp:revision>29</cp:revision>
  <cp:lastPrinted>2021-04-02T05:33:00Z</cp:lastPrinted>
  <dcterms:created xsi:type="dcterms:W3CDTF">2023-03-13T07:30:00Z</dcterms:created>
  <dcterms:modified xsi:type="dcterms:W3CDTF">2023-03-15T05:30:00Z</dcterms:modified>
</cp:coreProperties>
</file>